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4834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83425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DEATON CHAD C</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STEINHAUSEN V8</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6312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05/22/2026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0"/>
              <w:spacing w:after="0"/>
              <w:rPr>
                <w:sz w:val="20"/>
                <w:szCs w:val="20"/>
                <w:color w:val="auto"/>
              </w:rPr>
            </w:pPr>
            <w:r>
              <w:rPr>
                <w:rFonts w:ascii="Times New Roman" w:cs="Times New Roman" w:eastAsia="Times New Roman" w:hAnsi="Times New Roman"/>
                <w:sz w:val="13"/>
                <w:szCs w:val="13"/>
                <w:color w:val="0000FF"/>
                <w:w w:val="86"/>
              </w:rPr>
              <w:t>M</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88"/>
              </w:rPr>
              <w:t>82,353</w:t>
            </w:r>
            <w:r>
              <w:rPr>
                <w:rFonts w:ascii="Times New Roman" w:cs="Times New Roman" w:eastAsia="Times New Roman" w:hAnsi="Times New Roman"/>
                <w:sz w:val="21"/>
                <w:szCs w:val="21"/>
                <w:color w:val="008000"/>
                <w:w w:val="88"/>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6.81</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223,353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05/26/2026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0"/>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88"/>
              </w:rPr>
              <w:t>20,932</w:t>
            </w:r>
            <w:r>
              <w:rPr>
                <w:rFonts w:ascii="Times New Roman" w:cs="Times New Roman" w:eastAsia="Times New Roman" w:hAnsi="Times New Roman"/>
                <w:sz w:val="21"/>
                <w:szCs w:val="21"/>
                <w:color w:val="008000"/>
                <w:w w:val="88"/>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202,421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3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13"/>
                <w:szCs w:val="13"/>
                <w:color w:val="0000FF"/>
              </w:rPr>
              <w:t>05/22/2026</w:t>
            </w:r>
          </w:p>
        </w:tc>
        <w:tc>
          <w:tcPr>
            <w:tcW w:w="11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30,435</w:t>
            </w:r>
          </w:p>
        </w:tc>
        <w:tc>
          <w:tcPr>
            <w:tcW w:w="3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Registered</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30,435</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30,435</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-1911350</wp:posOffset>
            </wp:positionV>
            <wp:extent cx="29210" cy="1916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64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share equivalents, acquired on May 30, 2025, pursuant to the Issuer's long-term incentive plan. The restricted share units vested on May 22, 2026, and the reporting person elected not to defer the receipt of the registered shares.</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upon vesting to satisfy tax withholding obligations.</w:t>
      </w:r>
    </w:p>
    <w:p>
      <w:pPr>
        <w:spacing w:after="0" w:line="43" w:lineRule="exact"/>
        <w:rPr>
          <w:rFonts w:ascii="Times New Roman" w:cs="Times New Roman" w:eastAsia="Times New Roman" w:hAnsi="Times New Roman"/>
          <w:sz w:val="13"/>
          <w:szCs w:val="13"/>
          <w:color w:val="008000"/>
        </w:rPr>
      </w:pPr>
    </w:p>
    <w:p>
      <w:pPr>
        <w:jc w:val="both"/>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registered share equivalents, were acquired on May 22, 2026, pursuant to the Issuer's long-term incentive plan. Restricted Units vest on the earlier of: (i) May 22, 2027, or (ii) the date of the next Annual General Meeting of the Company's shareholders following the May 22, 2026 grant date. Such Restricted Units will be payable in registered shares of the Issuer following the applicable vesting date, pursuant to the terms and conditions of the award.</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Debra Kupferman by Power  </w:t>
      </w:r>
      <w:r>
        <w:rPr>
          <w:rFonts w:ascii="Times New Roman" w:cs="Times New Roman" w:eastAsia="Times New Roman" w:hAnsi="Times New Roman"/>
          <w:sz w:val="31"/>
          <w:szCs w:val="31"/>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491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14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21"/>
          <w:szCs w:val="21"/>
          <w:b w:val="1"/>
          <w:bCs w:val="1"/>
          <w:color w:val="auto"/>
        </w:rPr>
        <w:t>LIMITED POWER OF ATTORNEY FOR SECTION 16 REPORTING OBLIGATIONS</w:t>
      </w:r>
    </w:p>
    <w:p>
      <w:pPr>
        <w:spacing w:after="0" w:line="122" w:lineRule="exact"/>
        <w:rPr>
          <w:sz w:val="20"/>
          <w:szCs w:val="20"/>
          <w:color w:val="auto"/>
        </w:rPr>
      </w:pPr>
    </w:p>
    <w:p>
      <w:pPr>
        <w:jc w:val="both"/>
        <w:ind w:firstLine="308"/>
        <w:spacing w:after="0" w:line="24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Brady Long, Debra Kupferman, Daniel Ro-Trock, Sandro Thoma, Kyle Vento, Kristina Mays and Jason Bersch acting individually and with full power of substitution, the undersigned’s true and lawful attorney-in-fact to:</w:t>
      </w:r>
    </w:p>
    <w:p>
      <w:pPr>
        <w:spacing w:after="0" w:line="104" w:lineRule="exact"/>
        <w:rPr>
          <w:sz w:val="20"/>
          <w:szCs w:val="20"/>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Transocean Ltd.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Forms 3, 4 and 5 (and any amendments thereto) in accordance with Section 16(a)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and the rules thereunder;</w:t>
      </w:r>
    </w:p>
    <w:p>
      <w:pPr>
        <w:spacing w:after="0" w:line="334" w:lineRule="exact"/>
        <w:rPr>
          <w:rFonts w:ascii="Times New Roman" w:cs="Times New Roman" w:eastAsia="Times New Roman" w:hAnsi="Times New Roman"/>
          <w:sz w:val="21"/>
          <w:szCs w:val="21"/>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amendments thereto, and timely file such form with the United States Securities and Exchange Commission and any securities exchange or similar authority; and</w:t>
      </w:r>
    </w:p>
    <w:p>
      <w:pPr>
        <w:spacing w:after="0" w:line="322" w:lineRule="exact"/>
        <w:rPr>
          <w:rFonts w:ascii="Times New Roman" w:cs="Times New Roman" w:eastAsia="Times New Roman" w:hAnsi="Times New Roman"/>
          <w:sz w:val="21"/>
          <w:szCs w:val="21"/>
          <w:color w:val="auto"/>
        </w:rPr>
      </w:pPr>
    </w:p>
    <w:p>
      <w:pPr>
        <w:jc w:val="both"/>
        <w:ind w:left="620" w:hanging="309"/>
        <w:spacing w:after="0" w:line="253" w:lineRule="auto"/>
        <w:tabs>
          <w:tab w:leader="none" w:pos="5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327" w:lineRule="exact"/>
        <w:rPr>
          <w:sz w:val="20"/>
          <w:szCs w:val="20"/>
          <w:color w:val="auto"/>
        </w:rPr>
      </w:pPr>
    </w:p>
    <w:p>
      <w:pPr>
        <w:jc w:val="both"/>
        <w:ind w:firstLine="308"/>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461010</wp:posOffset>
            </wp:positionV>
            <wp:extent cx="6969125" cy="89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9125" cy="89535"/>
                    </a:xfrm>
                    <a:prstGeom prst="rect">
                      <a:avLst/>
                    </a:prstGeom>
                    <a:noFill/>
                  </pic:spPr>
                </pic:pic>
              </a:graphicData>
            </a:graphic>
          </wp:anchor>
        </w:drawing>
      </w:r>
    </w:p>
    <w:p>
      <w:pPr>
        <w:sectPr>
          <w:pgSz w:w="11900" w:h="16838" w:orient="portrait"/>
          <w:cols w:equalWidth="0" w:num="1">
            <w:col w:w="10980"/>
          </w:cols>
          <w:pgMar w:left="460" w:top="482" w:right="459" w:bottom="1440" w:gutter="0" w:footer="0" w:header="0"/>
        </w:sectPr>
      </w:pPr>
    </w:p>
    <w:bookmarkStart w:id="2" w:name="page3"/>
    <w:bookmarkEnd w:id="2"/>
    <w:p>
      <w:pPr>
        <w:jc w:val="both"/>
        <w:ind w:firstLine="308"/>
        <w:spacing w:after="0" w:line="255" w:lineRule="auto"/>
        <w:rPr>
          <w:sz w:val="20"/>
          <w:szCs w:val="20"/>
          <w:color w:val="auto"/>
        </w:rPr>
      </w:pPr>
      <w:r>
        <w:rPr>
          <w:rFonts w:ascii="Times New Roman" w:cs="Times New Roman" w:eastAsia="Times New Roman" w:hAnsi="Times New Roman"/>
          <w:sz w:val="21"/>
          <w:szCs w:val="21"/>
          <w:color w:val="auto"/>
        </w:rPr>
        <w:t>assuming, any of the undersigned’s responsibilities to comply with, or any liability for the failure to comply with, any provision of Section 16 of the Exchange Act.</w:t>
      </w:r>
    </w:p>
    <w:p>
      <w:pPr>
        <w:spacing w:after="0" w:line="91" w:lineRule="exact"/>
        <w:rPr>
          <w:sz w:val="20"/>
          <w:szCs w:val="20"/>
          <w:color w:val="auto"/>
        </w:rPr>
      </w:pPr>
    </w:p>
    <w:p>
      <w:pPr>
        <w:jc w:val="both"/>
        <w:ind w:firstLine="308"/>
        <w:spacing w:after="0" w:line="235" w:lineRule="auto"/>
        <w:rPr>
          <w:sz w:val="20"/>
          <w:szCs w:val="20"/>
          <w:color w:val="auto"/>
        </w:rPr>
      </w:pPr>
      <w:r>
        <w:rPr>
          <w:rFonts w:ascii="Times New Roman" w:cs="Times New Roman" w:eastAsia="Times New Roman" w:hAnsi="Times New Roman"/>
          <w:sz w:val="21"/>
          <w:szCs w:val="21"/>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 The authority granted to any individual attorney-in-fact hereunder shall automatically terminate with immediate effect upon such attorney-in-fact ceasing to be employed by or affiliated with the Company or any of its subsidiaries. This Limited Power of Attorney revokes all prior powers of attorney granted by the undersigned with respect to the subject matter hereof.</w:t>
      </w:r>
    </w:p>
    <w:p>
      <w:pPr>
        <w:spacing w:after="0" w:line="323" w:lineRule="exact"/>
        <w:rPr>
          <w:sz w:val="20"/>
          <w:szCs w:val="20"/>
          <w:color w:val="auto"/>
        </w:rPr>
      </w:pPr>
    </w:p>
    <w:p>
      <w:pPr>
        <w:jc w:val="center"/>
        <w:ind w:left="760" w:right="20"/>
        <w:spacing w:after="0" w:line="371"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executed this Limited Power of Attorney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12th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 November 2025.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Signed and acknowledged:</w:t>
      </w:r>
    </w:p>
    <w:p>
      <w:pPr>
        <w:spacing w:after="0" w:line="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u w:val="single" w:color="auto"/>
          <w:color w:val="auto"/>
        </w:rPr>
        <w:t>/s/ Chadwick C. Deaton</w:t>
      </w:r>
    </w:p>
    <w:p>
      <w:pPr>
        <w:spacing w:after="0" w:line="1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 Chadwick C. Deaton</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39236"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2026-05-27T17:49:10Z</dcterms:created>
  <dcterms:modified xsi:type="dcterms:W3CDTF">2026-05-27T17:49:10Z</dcterms:modified>
</cp:coreProperties>
</file>