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55"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ind w:left="2920"/>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ind w:left="2840"/>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 May 26, 2026 (May 22, 2026)</w:t>
      </w:r>
    </w:p>
    <w:p>
      <w:pPr>
        <w:spacing w:after="0" w:line="2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TRANSOCEAN LTD.</w:t>
      </w:r>
    </w:p>
    <w:p>
      <w:pPr>
        <w:spacing w:after="0" w:line="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9019"/>
          </w:cols>
          <w:pgMar w:left="1440" w:top="891" w:right="1440" w:bottom="1440" w:gutter="0" w:footer="0" w:header="0"/>
        </w:sectPr>
      </w:pPr>
    </w:p>
    <w:p>
      <w:pPr>
        <w:spacing w:after="0" w:line="215"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8"/>
          <w:szCs w:val="18"/>
          <w:b w:val="1"/>
          <w:bCs w:val="1"/>
          <w:color w:val="auto"/>
        </w:rPr>
        <w:t>Switzerland</w:t>
      </w:r>
    </w:p>
    <w:p>
      <w:pPr>
        <w:spacing w:after="0" w:line="31"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9"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195" w:lineRule="exact"/>
        <w:rPr>
          <w:sz w:val="24"/>
          <w:szCs w:val="24"/>
          <w:color w:val="auto"/>
        </w:rPr>
      </w:pPr>
    </w:p>
    <w:p>
      <w:pPr>
        <w:jc w:val="center"/>
        <w:spacing w:after="0"/>
        <w:tabs>
          <w:tab w:leader="none" w:pos="1020" w:val="left"/>
          <w:tab w:leader="none" w:pos="1120" w:val="left"/>
        </w:tabs>
        <w:rPr>
          <w:sz w:val="20"/>
          <w:szCs w:val="20"/>
          <w:color w:val="auto"/>
        </w:rPr>
      </w:pP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b w:val="1"/>
          <w:bCs w:val="1"/>
          <w:color w:val="auto"/>
        </w:rPr>
        <w:t>001-38373</w:t>
      </w:r>
      <w:r>
        <w:rPr>
          <w:sz w:val="20"/>
          <w:szCs w:val="20"/>
          <w:color w:val="auto"/>
        </w:rPr>
        <w:tab/>
      </w:r>
      <w:r>
        <w:rPr>
          <w:rFonts w:ascii="Times New Roman" w:cs="Times New Roman" w:eastAsia="Times New Roman" w:hAnsi="Times New Roman"/>
          <w:sz w:val="18"/>
          <w:szCs w:val="18"/>
          <w:b w:val="1"/>
          <w:bCs w:val="1"/>
          <w:color w:val="auto"/>
        </w:rPr>
        <w:t>​​​</w:t>
      </w:r>
    </w:p>
    <w:p>
      <w:pPr>
        <w:spacing w:after="0" w:line="3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(Commission</w:t>
      </w:r>
    </w:p>
    <w:p>
      <w:pPr>
        <w:spacing w:after="0" w:line="9"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File Number)</w:t>
      </w:r>
    </w:p>
    <w:p>
      <w:pPr>
        <w:spacing w:after="0" w:line="20" w:lineRule="exact"/>
        <w:rPr>
          <w:sz w:val="24"/>
          <w:szCs w:val="24"/>
          <w:color w:val="auto"/>
        </w:rPr>
      </w:pPr>
      <w:r>
        <w:rPr>
          <w:sz w:val="24"/>
          <w:szCs w:val="24"/>
          <w:color w:val="auto"/>
        </w:rPr>
        <w:br w:type="column"/>
      </w:r>
    </w:p>
    <w:p>
      <w:pPr>
        <w:spacing w:after="0" w:line="195" w:lineRule="exact"/>
        <w:rPr>
          <w:sz w:val="24"/>
          <w:szCs w:val="24"/>
          <w:color w:val="auto"/>
        </w:rPr>
      </w:pPr>
    </w:p>
    <w:p>
      <w:pPr>
        <w:jc w:val="center"/>
        <w:ind w:right="779"/>
        <w:spacing w:after="0"/>
        <w:rPr>
          <w:sz w:val="20"/>
          <w:szCs w:val="20"/>
          <w:color w:val="auto"/>
        </w:rPr>
      </w:pPr>
      <w:r>
        <w:rPr>
          <w:rFonts w:ascii="Times New Roman" w:cs="Times New Roman" w:eastAsia="Times New Roman" w:hAnsi="Times New Roman"/>
          <w:sz w:val="18"/>
          <w:szCs w:val="18"/>
          <w:b w:val="1"/>
          <w:bCs w:val="1"/>
          <w:color w:val="auto"/>
        </w:rPr>
        <w:t>98-0599916</w:t>
      </w:r>
    </w:p>
    <w:p>
      <w:pPr>
        <w:spacing w:after="0" w:line="31" w:lineRule="exact"/>
        <w:rPr>
          <w:sz w:val="24"/>
          <w:szCs w:val="24"/>
          <w:color w:val="auto"/>
        </w:rPr>
      </w:pPr>
    </w:p>
    <w:p>
      <w:pPr>
        <w:jc w:val="center"/>
        <w:ind w:right="779"/>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779"/>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2700" w:space="400"/>
            <w:col w:w="3240" w:space="560"/>
            <w:col w:w="2119"/>
          </w:cols>
          <w:pgMar w:left="1440" w:top="891" w:right="1440" w:bottom="1440" w:gutter="0" w:footer="0" w:header="0"/>
          <w:type w:val="continuous"/>
        </w:sectPr>
      </w:pPr>
    </w:p>
    <w:p>
      <w:pPr>
        <w:spacing w:after="0" w:line="16" w:lineRule="exact"/>
        <w:rPr>
          <w:sz w:val="24"/>
          <w:szCs w:val="24"/>
          <w:color w:val="auto"/>
        </w:rPr>
      </w:pPr>
    </w:p>
    <w:p>
      <w:pPr>
        <w:jc w:val="center"/>
        <w:ind w:left="840"/>
        <w:spacing w:after="0"/>
        <w:rPr>
          <w:sz w:val="20"/>
          <w:szCs w:val="20"/>
          <w:color w:val="auto"/>
        </w:rPr>
      </w:pPr>
      <w:r>
        <w:rPr>
          <w:rFonts w:ascii="Times New Roman" w:cs="Times New Roman" w:eastAsia="Times New Roman" w:hAnsi="Times New Roman"/>
          <w:sz w:val="17"/>
          <w:szCs w:val="17"/>
          <w:b w:val="1"/>
          <w:bCs w:val="1"/>
          <w:color w:val="auto"/>
        </w:rPr>
        <w:t>Turmstrasse 30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4"/>
          <w:szCs w:val="24"/>
          <w:color w:val="auto"/>
        </w:rPr>
      </w:pPr>
    </w:p>
    <w:p>
      <w:pPr>
        <w:sectPr>
          <w:pgSz w:w="11900" w:h="16838" w:orient="portrait"/>
          <w:cols w:equalWidth="0" w:num="2">
            <w:col w:w="3860" w:space="720"/>
            <w:col w:w="4439"/>
          </w:cols>
          <w:pgMar w:left="1440" w:top="891" w:right="1440" w:bottom="1440" w:gutter="0" w:footer="0" w:header="0"/>
          <w:type w:val="continuous"/>
        </w:sectPr>
      </w:pPr>
    </w:p>
    <w:p>
      <w:pPr>
        <w:ind w:left="1380"/>
        <w:spacing w:after="0"/>
        <w:rPr>
          <w:sz w:val="20"/>
          <w:szCs w:val="20"/>
          <w:color w:val="auto"/>
        </w:rPr>
      </w:pPr>
      <w:r>
        <w:rPr>
          <w:rFonts w:ascii="Times New Roman" w:cs="Times New Roman" w:eastAsia="Times New Roman" w:hAnsi="Times New Roman"/>
          <w:sz w:val="17"/>
          <w:szCs w:val="17"/>
          <w:b w:val="1"/>
          <w:bCs w:val="1"/>
          <w:color w:val="auto"/>
        </w:rPr>
        <w:t>Steinhausen, Switzerland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CH-6312</w:t>
      </w:r>
    </w:p>
    <w:p>
      <w:pPr>
        <w:spacing w:after="0" w:line="200" w:lineRule="exact"/>
        <w:rPr>
          <w:sz w:val="24"/>
          <w:szCs w:val="24"/>
          <w:color w:val="auto"/>
        </w:rPr>
      </w:pPr>
    </w:p>
    <w:p>
      <w:pPr>
        <w:sectPr>
          <w:pgSz w:w="11900" w:h="16838" w:orient="portrait"/>
          <w:cols w:equalWidth="0" w:num="2">
            <w:col w:w="5680" w:space="720"/>
            <w:col w:w="2619"/>
          </w:cols>
          <w:pgMar w:left="1440" w:top="891" w:right="1440" w:bottom="1440" w:gutter="0" w:footer="0" w:header="0"/>
          <w:type w:val="continuous"/>
        </w:sectPr>
      </w:pPr>
    </w:p>
    <w:p>
      <w:pPr>
        <w:spacing w:after="0" w:line="7" w:lineRule="exact"/>
        <w:rPr>
          <w:sz w:val="24"/>
          <w:szCs w:val="24"/>
          <w:color w:val="auto"/>
        </w:rPr>
      </w:pPr>
    </w:p>
    <w:p>
      <w:pPr>
        <w:ind w:left="9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5660" w:space="720"/>
            <w:col w:w="2639"/>
          </w:cols>
          <w:pgMar w:left="1440" w:top="891" w:right="1440" w:bottom="1440" w:gutter="0" w:footer="0" w:header="0"/>
          <w:type w:val="continuous"/>
        </w:sectPr>
      </w:pPr>
    </w:p>
    <w:p>
      <w:pPr>
        <w:spacing w:after="0" w:line="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+41 (41) 749-0500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105410</wp:posOffset>
            </wp:positionV>
            <wp:extent cx="545211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pacing w:after="0" w:line="358" w:lineRule="exact"/>
        <w:rPr>
          <w:sz w:val="24"/>
          <w:szCs w:val="24"/>
          <w:color w:val="auto"/>
        </w:rPr>
      </w:pPr>
    </w:p>
    <w:p>
      <w:pPr>
        <w:ind w:left="200" w:right="479"/>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540" w:hanging="331"/>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540" w:hanging="331"/>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540" w:hanging="331"/>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540" w:hanging="331"/>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39" w:lineRule="exact"/>
        <w:rPr>
          <w:sz w:val="24"/>
          <w:szCs w:val="24"/>
          <w:color w:val="auto"/>
        </w:rPr>
      </w:pPr>
    </w:p>
    <w:tbl>
      <w:tblPr>
        <w:tblLayout w:type="fixed"/>
        <w:tblInd w:w="300" w:type="dxa"/>
        <w:tblCellMar>
          <w:top w:w="0" w:type="dxa"/>
          <w:left w:w="0" w:type="dxa"/>
          <w:bottom w:w="0" w:type="dxa"/>
          <w:right w:w="0" w:type="dxa"/>
        </w:tblCellMar>
      </w:tblPr>
      <w:tr>
        <w:trPr>
          <w:trHeight w:val="234"/>
        </w:trPr>
        <w:tc>
          <w:tcPr>
            <w:tcW w:w="48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60" w:type="dxa"/>
            <w:vAlign w:val="bottom"/>
          </w:tcPr>
          <w:p>
            <w:pPr>
              <w:spacing w:after="0"/>
              <w:rPr>
                <w:sz w:val="20"/>
                <w:szCs w:val="20"/>
                <w:color w:val="auto"/>
              </w:rPr>
            </w:pPr>
          </w:p>
        </w:tc>
        <w:tc>
          <w:tcPr>
            <w:tcW w:w="3240" w:type="dxa"/>
            <w:vAlign w:val="bottom"/>
          </w:tcPr>
          <w:p>
            <w:pPr>
              <w:spacing w:after="0"/>
              <w:rPr>
                <w:sz w:val="20"/>
                <w:szCs w:val="20"/>
                <w:color w:val="auto"/>
              </w:rPr>
            </w:pPr>
          </w:p>
        </w:tc>
      </w:tr>
      <w:tr>
        <w:trPr>
          <w:trHeight w:val="229"/>
        </w:trPr>
        <w:tc>
          <w:tcPr>
            <w:tcW w:w="1040" w:type="dxa"/>
            <w:vAlign w:val="bottom"/>
          </w:tcPr>
          <w:p>
            <w:pPr>
              <w:spacing w:after="0"/>
              <w:rPr>
                <w:sz w:val="19"/>
                <w:szCs w:val="19"/>
                <w:color w:val="auto"/>
              </w:rPr>
            </w:pPr>
          </w:p>
        </w:tc>
        <w:tc>
          <w:tcPr>
            <w:tcW w:w="2520" w:type="dxa"/>
            <w:vAlign w:val="bottom"/>
            <w:gridSpan w:val="2"/>
          </w:tcPr>
          <w:p>
            <w:pPr>
              <w:jc w:val="center"/>
              <w:ind w:right="1240"/>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13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8"/>
              </w:rPr>
              <w:t>Trading Symbol</w:t>
            </w:r>
          </w:p>
        </w:tc>
        <w:tc>
          <w:tcPr>
            <w:tcW w:w="340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0"/>
        </w:trPr>
        <w:tc>
          <w:tcPr>
            <w:tcW w:w="10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40" w:type="dxa"/>
            <w:vAlign w:val="bottom"/>
            <w:shd w:val="clear" w:color="auto" w:fill="000000"/>
          </w:tcPr>
          <w:p>
            <w:pPr>
              <w:spacing w:after="0" w:line="20" w:lineRule="exact"/>
              <w:rPr>
                <w:sz w:val="1"/>
                <w:szCs w:val="1"/>
                <w:color w:val="auto"/>
              </w:rPr>
            </w:pPr>
          </w:p>
        </w:tc>
      </w:tr>
      <w:tr>
        <w:trPr>
          <w:trHeight w:val="291"/>
        </w:trPr>
        <w:tc>
          <w:tcPr>
            <w:tcW w:w="35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Shares, $0.10 par value</w:t>
            </w:r>
          </w:p>
        </w:tc>
        <w:tc>
          <w:tcPr>
            <w:tcW w:w="13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RIG</w:t>
            </w:r>
          </w:p>
        </w:tc>
        <w:tc>
          <w:tcPr>
            <w:tcW w:w="160" w:type="dxa"/>
            <w:vAlign w:val="bottom"/>
          </w:tcPr>
          <w:p>
            <w:pPr>
              <w:spacing w:after="0"/>
              <w:rPr>
                <w:sz w:val="24"/>
                <w:szCs w:val="24"/>
                <w:color w:val="auto"/>
              </w:rPr>
            </w:pPr>
          </w:p>
        </w:tc>
        <w:tc>
          <w:tcPr>
            <w:tcW w:w="3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211" w:lineRule="exact"/>
        <w:rPr>
          <w:sz w:val="24"/>
          <w:szCs w:val="24"/>
          <w:color w:val="auto"/>
        </w:rPr>
      </w:pPr>
    </w:p>
    <w:p>
      <w:pPr>
        <w:ind w:left="200" w:right="279"/>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5" w:lineRule="exact"/>
        <w:rPr>
          <w:sz w:val="24"/>
          <w:szCs w:val="24"/>
          <w:color w:val="auto"/>
        </w:rPr>
      </w:pPr>
    </w:p>
    <w:p>
      <w:pPr>
        <w:ind w:left="20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ind w:left="200" w:right="279"/>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591185</wp:posOffset>
            </wp:positionV>
            <wp:extent cx="5452110"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type w:val="continuous"/>
        </w:sectPr>
      </w:pPr>
    </w:p>
    <w:bookmarkStart w:id="1" w:name="page2"/>
    <w:bookmarkEnd w:id="1"/>
    <w:p>
      <w:pPr>
        <w:ind w:left="20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Item 3.02</w:t>
      </w:r>
      <w:r>
        <w:rPr>
          <w:sz w:val="20"/>
          <w:szCs w:val="20"/>
          <w:color w:val="auto"/>
        </w:rPr>
        <w:tab/>
      </w:r>
      <w:r>
        <w:rPr>
          <w:rFonts w:ascii="Times New Roman" w:cs="Times New Roman" w:eastAsia="Times New Roman" w:hAnsi="Times New Roman"/>
          <w:sz w:val="21"/>
          <w:szCs w:val="21"/>
          <w:b w:val="1"/>
          <w:bCs w:val="1"/>
          <w:color w:val="auto"/>
        </w:rPr>
        <w:t>Unregistered Sales of Equity Securities.</w:t>
      </w:r>
    </w:p>
    <w:p>
      <w:pPr>
        <w:spacing w:after="0" w:line="24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The information included under Item 5.03 is incorporated herein by reference.</w:t>
      </w:r>
    </w:p>
    <w:p>
      <w:pPr>
        <w:spacing w:after="0" w:line="234" w:lineRule="exact"/>
        <w:rPr>
          <w:sz w:val="20"/>
          <w:szCs w:val="20"/>
          <w:color w:val="auto"/>
        </w:rPr>
      </w:pPr>
    </w:p>
    <w:p>
      <w:pPr>
        <w:ind w:left="20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Item 5.03</w:t>
      </w:r>
      <w:r>
        <w:rPr>
          <w:sz w:val="20"/>
          <w:szCs w:val="20"/>
          <w:color w:val="auto"/>
        </w:rPr>
        <w:tab/>
      </w:r>
      <w:r>
        <w:rPr>
          <w:rFonts w:ascii="Times New Roman" w:cs="Times New Roman" w:eastAsia="Times New Roman" w:hAnsi="Times New Roman"/>
          <w:sz w:val="21"/>
          <w:szCs w:val="21"/>
          <w:b w:val="1"/>
          <w:bCs w:val="1"/>
          <w:color w:val="auto"/>
        </w:rPr>
        <w:t>Amendments to Articles of Incorporation or Bylaws; Change in Fiscal Year.</w:t>
      </w:r>
    </w:p>
    <w:p>
      <w:pPr>
        <w:spacing w:after="0" w:line="25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i w:val="1"/>
          <w:iCs w:val="1"/>
          <w:color w:val="auto"/>
        </w:rPr>
        <w:t>General Capital Authorization</w:t>
      </w:r>
    </w:p>
    <w:p>
      <w:pPr>
        <w:spacing w:after="0" w:line="24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auto"/>
        </w:rPr>
        <w:t>At the 2026 Annual General Meeting of Shareholders of Transocean Ltd. (the “Company”) held on May 22,</w:t>
      </w:r>
    </w:p>
    <w:p>
      <w:pPr>
        <w:spacing w:after="0" w:line="3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2026 (the “AGM”) in Zug, Switzerland, shareholders of the Company approved an amendment to the</w:t>
      </w:r>
    </w:p>
    <w:p>
      <w:pPr>
        <w:ind w:left="200"/>
        <w:spacing w:after="0"/>
        <w:rPr>
          <w:sz w:val="20"/>
          <w:szCs w:val="20"/>
          <w:color w:val="auto"/>
        </w:rPr>
      </w:pPr>
      <w:r>
        <w:rPr>
          <w:rFonts w:ascii="Times New Roman" w:cs="Times New Roman" w:eastAsia="Times New Roman" w:hAnsi="Times New Roman"/>
          <w:sz w:val="20"/>
          <w:szCs w:val="20"/>
          <w:color w:val="auto"/>
        </w:rPr>
        <w:t>Articles of Association of the Company to permit the issuance of up to 240,801,936 shares, par value</w:t>
      </w:r>
    </w:p>
    <w:p>
      <w:pPr>
        <w:ind w:left="200"/>
        <w:spacing w:after="0"/>
        <w:rPr>
          <w:sz w:val="20"/>
          <w:szCs w:val="20"/>
          <w:color w:val="auto"/>
        </w:rPr>
      </w:pPr>
      <w:r>
        <w:rPr>
          <w:rFonts w:ascii="Times New Roman" w:cs="Times New Roman" w:eastAsia="Times New Roman" w:hAnsi="Times New Roman"/>
          <w:sz w:val="19"/>
          <w:szCs w:val="19"/>
          <w:color w:val="auto"/>
        </w:rPr>
        <w:t>U.S. $0.10 per share (“Shares”), for a term expiring on May 22, 2027. In connection with the foregoing, the</w:t>
      </w:r>
    </w:p>
    <w:p>
      <w:pPr>
        <w:spacing w:after="0" w:line="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Articles of Association of the Company were further amended to reflect changes in the Company’s total</w:t>
      </w:r>
    </w:p>
    <w:p>
      <w:pPr>
        <w:ind w:left="200"/>
        <w:spacing w:after="0"/>
        <w:rPr>
          <w:sz w:val="20"/>
          <w:szCs w:val="20"/>
          <w:color w:val="auto"/>
        </w:rPr>
      </w:pPr>
      <w:r>
        <w:rPr>
          <w:rFonts w:ascii="Times New Roman" w:cs="Times New Roman" w:eastAsia="Times New Roman" w:hAnsi="Times New Roman"/>
          <w:sz w:val="20"/>
          <w:szCs w:val="20"/>
          <w:color w:val="auto"/>
        </w:rPr>
        <w:t>issued share capital resulting from the issuance of 100,000,000 Shares into treasury pursuant to the general</w:t>
      </w:r>
    </w:p>
    <w:p>
      <w:pPr>
        <w:ind w:left="200"/>
        <w:spacing w:after="0"/>
        <w:rPr>
          <w:sz w:val="20"/>
          <w:szCs w:val="20"/>
          <w:color w:val="auto"/>
        </w:rPr>
      </w:pPr>
      <w:r>
        <w:rPr>
          <w:rFonts w:ascii="Times New Roman" w:cs="Times New Roman" w:eastAsia="Times New Roman" w:hAnsi="Times New Roman"/>
          <w:sz w:val="20"/>
          <w:szCs w:val="20"/>
          <w:color w:val="auto"/>
        </w:rPr>
        <w:t>capital authorization approved at the AGM. The Company’s Articles of Association now reflect a share</w:t>
      </w:r>
    </w:p>
    <w:p>
      <w:pPr>
        <w:ind w:left="200"/>
        <w:spacing w:after="0"/>
        <w:rPr>
          <w:sz w:val="20"/>
          <w:szCs w:val="20"/>
          <w:color w:val="auto"/>
        </w:rPr>
      </w:pPr>
      <w:r>
        <w:rPr>
          <w:rFonts w:ascii="Times New Roman" w:cs="Times New Roman" w:eastAsia="Times New Roman" w:hAnsi="Times New Roman"/>
          <w:sz w:val="20"/>
          <w:szCs w:val="20"/>
          <w:color w:val="auto"/>
        </w:rPr>
        <w:t>capital of U.S. $130,400,968.10 divided into 1,304,009,681 fully paid registered Shares.</w:t>
      </w:r>
    </w:p>
    <w:p>
      <w:pPr>
        <w:spacing w:after="0" w:line="234" w:lineRule="exact"/>
        <w:rPr>
          <w:sz w:val="20"/>
          <w:szCs w:val="20"/>
          <w:color w:val="auto"/>
        </w:rPr>
      </w:pPr>
    </w:p>
    <w:p>
      <w:pPr>
        <w:ind w:left="200" w:right="539"/>
        <w:spacing w:after="0" w:line="249" w:lineRule="auto"/>
        <w:rPr>
          <w:sz w:val="20"/>
          <w:szCs w:val="20"/>
          <w:color w:val="auto"/>
        </w:rPr>
      </w:pPr>
      <w:r>
        <w:rPr>
          <w:rFonts w:ascii="Times New Roman" w:cs="Times New Roman" w:eastAsia="Times New Roman" w:hAnsi="Times New Roman"/>
          <w:sz w:val="20"/>
          <w:szCs w:val="20"/>
          <w:color w:val="auto"/>
        </w:rPr>
        <w:t>The issuance of Shares into treasury described above is intended to allow the Company to timely deliver Shares from time to time pursuant to the general capital authorization approved by the Company’s shareholders and is exempt pursuant to Section 4(a)(2) of the Securities Act of 1933, as amended, which exempts transactions by an issuer not involving a public offering.</w:t>
      </w:r>
    </w:p>
    <w:p>
      <w:pPr>
        <w:spacing w:after="0" w:line="220" w:lineRule="exact"/>
        <w:rPr>
          <w:sz w:val="20"/>
          <w:szCs w:val="20"/>
          <w:color w:val="auto"/>
        </w:rPr>
      </w:pPr>
    </w:p>
    <w:p>
      <w:pPr>
        <w:jc w:val="both"/>
        <w:ind w:left="200" w:right="339"/>
        <w:spacing w:after="0" w:line="254" w:lineRule="auto"/>
        <w:rPr>
          <w:sz w:val="20"/>
          <w:szCs w:val="20"/>
          <w:color w:val="auto"/>
        </w:rPr>
      </w:pPr>
      <w:r>
        <w:rPr>
          <w:rFonts w:ascii="Times New Roman" w:cs="Times New Roman" w:eastAsia="Times New Roman" w:hAnsi="Times New Roman"/>
          <w:sz w:val="20"/>
          <w:szCs w:val="20"/>
          <w:color w:val="auto"/>
        </w:rPr>
        <w:t xml:space="preserve">The foregoing description of the Articles of Association does not purport to be complete and is qualified in its entirety by reference to the full text of the Articles of Association, amended as of May 22, 2026, a copy of which is filed herewith as </w:t>
      </w:r>
      <w:r>
        <w:rPr>
          <w:rFonts w:ascii="Times New Roman" w:cs="Times New Roman" w:eastAsia="Times New Roman" w:hAnsi="Times New Roman"/>
          <w:sz w:val="20"/>
          <w:szCs w:val="20"/>
          <w:u w:val="single" w:color="auto"/>
          <w:color w:val="0000EE"/>
        </w:rPr>
        <w:t>Exhibit 3.1</w:t>
      </w:r>
      <w:r>
        <w:rPr>
          <w:rFonts w:ascii="Times New Roman" w:cs="Times New Roman" w:eastAsia="Times New Roman" w:hAnsi="Times New Roman"/>
          <w:sz w:val="20"/>
          <w:szCs w:val="20"/>
          <w:color w:val="auto"/>
        </w:rPr>
        <w:t xml:space="preserve"> and is incorporated herein by reference</w:t>
      </w:r>
    </w:p>
    <w:p>
      <w:pPr>
        <w:spacing w:after="0" w:line="19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i w:val="1"/>
          <w:iCs w:val="1"/>
          <w:color w:val="auto"/>
        </w:rPr>
        <w:t>Finance Committee Dissolution</w:t>
      </w:r>
    </w:p>
    <w:p>
      <w:pPr>
        <w:spacing w:after="0" w:line="260" w:lineRule="exact"/>
        <w:rPr>
          <w:sz w:val="20"/>
          <w:szCs w:val="20"/>
          <w:color w:val="auto"/>
        </w:rPr>
      </w:pPr>
    </w:p>
    <w:p>
      <w:pPr>
        <w:ind w:left="200" w:right="599"/>
        <w:spacing w:after="0" w:line="254" w:lineRule="auto"/>
        <w:rPr>
          <w:sz w:val="20"/>
          <w:szCs w:val="20"/>
          <w:color w:val="auto"/>
        </w:rPr>
      </w:pPr>
      <w:r>
        <w:rPr>
          <w:rFonts w:ascii="Times New Roman" w:cs="Times New Roman" w:eastAsia="Times New Roman" w:hAnsi="Times New Roman"/>
          <w:sz w:val="20"/>
          <w:szCs w:val="20"/>
          <w:color w:val="auto"/>
        </w:rPr>
        <w:t>At its meeting on May 22, 2026, the Board of Directors of the Company approved an amendment to the Organizational Regulations, to be effective as of July 1, 2026, (as amended, the “Organizational Regulations”) to reflect the dissolution of the Finance Committee.</w:t>
      </w:r>
    </w:p>
    <w:p>
      <w:pPr>
        <w:spacing w:after="0" w:line="200" w:lineRule="exact"/>
        <w:rPr>
          <w:sz w:val="20"/>
          <w:szCs w:val="20"/>
          <w:color w:val="auto"/>
        </w:rPr>
      </w:pPr>
    </w:p>
    <w:p>
      <w:pPr>
        <w:spacing w:after="0" w:line="244" w:lineRule="exact"/>
        <w:rPr>
          <w:sz w:val="20"/>
          <w:szCs w:val="20"/>
          <w:color w:val="auto"/>
        </w:rPr>
      </w:pPr>
    </w:p>
    <w:p>
      <w:pPr>
        <w:ind w:left="200" w:right="539"/>
        <w:spacing w:after="0" w:line="254" w:lineRule="auto"/>
        <w:rPr>
          <w:sz w:val="20"/>
          <w:szCs w:val="20"/>
          <w:color w:val="auto"/>
        </w:rPr>
      </w:pPr>
      <w:r>
        <w:rPr>
          <w:rFonts w:ascii="Times New Roman" w:cs="Times New Roman" w:eastAsia="Times New Roman" w:hAnsi="Times New Roman"/>
          <w:sz w:val="20"/>
          <w:szCs w:val="20"/>
          <w:color w:val="auto"/>
        </w:rPr>
        <w:t xml:space="preserve">The foregoing description of the Organizational Regulations does not purport to be complete and is qualified in its entirety by reference to the full text of the Organizational Regulations, a copy of which is filed herewith as </w:t>
      </w:r>
      <w:r>
        <w:rPr>
          <w:rFonts w:ascii="Times New Roman" w:cs="Times New Roman" w:eastAsia="Times New Roman" w:hAnsi="Times New Roman"/>
          <w:sz w:val="20"/>
          <w:szCs w:val="20"/>
          <w:u w:val="single" w:color="auto"/>
          <w:color w:val="0000EE"/>
        </w:rPr>
        <w:t>Exhibit 3.2</w:t>
      </w:r>
      <w:r>
        <w:rPr>
          <w:rFonts w:ascii="Times New Roman" w:cs="Times New Roman" w:eastAsia="Times New Roman" w:hAnsi="Times New Roman"/>
          <w:sz w:val="20"/>
          <w:szCs w:val="20"/>
          <w:color w:val="auto"/>
        </w:rPr>
        <w:t xml:space="preserve"> and is incorporated herein by reference</w:t>
      </w:r>
    </w:p>
    <w:p>
      <w:pPr>
        <w:spacing w:after="0" w:line="20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511175</wp:posOffset>
            </wp:positionV>
            <wp:extent cx="545211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2" w:name="page3"/>
    <w:bookmarkEnd w:id="2"/>
    <w:p>
      <w:pPr>
        <w:ind w:left="20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Item 5.07</w:t>
      </w:r>
      <w:r>
        <w:rPr>
          <w:sz w:val="20"/>
          <w:szCs w:val="20"/>
          <w:color w:val="auto"/>
        </w:rPr>
        <w:tab/>
      </w:r>
      <w:r>
        <w:rPr>
          <w:rFonts w:ascii="Times New Roman" w:cs="Times New Roman" w:eastAsia="Times New Roman" w:hAnsi="Times New Roman"/>
          <w:sz w:val="21"/>
          <w:szCs w:val="21"/>
          <w:b w:val="1"/>
          <w:bCs w:val="1"/>
          <w:color w:val="auto"/>
        </w:rPr>
        <w:t>Submission of Matters to a Vote of Security Holders.</w:t>
      </w:r>
    </w:p>
    <w:p>
      <w:pPr>
        <w:spacing w:after="0" w:line="24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At the AGM, shareholders of the Company took action on the following matters:</w:t>
      </w:r>
    </w:p>
    <w:p>
      <w:pPr>
        <w:spacing w:after="0" w:line="283" w:lineRule="exact"/>
        <w:rPr>
          <w:sz w:val="20"/>
          <w:szCs w:val="20"/>
          <w:color w:val="auto"/>
        </w:rPr>
      </w:pPr>
    </w:p>
    <w:p>
      <w:pPr>
        <w:jc w:val="both"/>
        <w:ind w:left="880" w:right="239" w:hanging="320"/>
        <w:spacing w:after="0" w:line="254" w:lineRule="auto"/>
        <w:tabs>
          <w:tab w:leader="none" w:pos="88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Proposal regarding the approval of the 2025 Annual Report, including the Audited Consolidated Financial Statements of the Company. for Fiscal Year 2025 and the Audited Statutory Financial Statements of the Company for Fiscal Year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3700145</wp:posOffset>
            </wp:positionH>
            <wp:positionV relativeFrom="paragraph">
              <wp:posOffset>99695</wp:posOffset>
            </wp:positionV>
            <wp:extent cx="8890" cy="386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890" cy="386080"/>
                    </a:xfrm>
                    <a:prstGeom prst="rect">
                      <a:avLst/>
                    </a:prstGeom>
                    <a:noFill/>
                  </pic:spPr>
                </pic:pic>
              </a:graphicData>
            </a:graphic>
          </wp:anchor>
        </w:drawing>
      </w:r>
    </w:p>
    <w:p>
      <w:pPr>
        <w:spacing w:after="0" w:line="117" w:lineRule="exact"/>
        <w:rPr>
          <w:sz w:val="20"/>
          <w:szCs w:val="20"/>
          <w:color w:val="auto"/>
        </w:rPr>
      </w:pPr>
    </w:p>
    <w:tbl>
      <w:tblPr>
        <w:tblLayout w:type="fixed"/>
        <w:tblInd w:w="430" w:type="dxa"/>
        <w:tblCellMar>
          <w:top w:w="0" w:type="dxa"/>
          <w:left w:w="0" w:type="dxa"/>
          <w:bottom w:w="0" w:type="dxa"/>
          <w:right w:w="0" w:type="dxa"/>
        </w:tblCellMar>
      </w:tblPr>
      <w:tr>
        <w:trPr>
          <w:trHeight w:val="302"/>
        </w:trPr>
        <w:tc>
          <w:tcPr>
            <w:tcW w:w="2700" w:type="dxa"/>
            <w:vAlign w:val="bottom"/>
            <w:tcBorders>
              <w:top w:val="single" w:sz="8" w:color="auto"/>
              <w:left w:val="single" w:sz="8" w:color="auto"/>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20"/>
                <w:szCs w:val="20"/>
                <w:b w:val="1"/>
                <w:bCs w:val="1"/>
                <w:color w:val="auto"/>
                <w:w w:val="96"/>
              </w:rPr>
              <w:t>For</w:t>
            </w:r>
          </w:p>
        </w:tc>
        <w:tc>
          <w:tcPr>
            <w:tcW w:w="600" w:type="dxa"/>
            <w:vAlign w:val="bottom"/>
            <w:tcBorders>
              <w:top w:val="single" w:sz="8" w:color="auto"/>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20"/>
                <w:szCs w:val="20"/>
                <w:b w:val="1"/>
                <w:bCs w:val="1"/>
                <w:color w:val="auto"/>
              </w:rPr>
              <w:t>​​​</w:t>
            </w:r>
          </w:p>
        </w:tc>
        <w:tc>
          <w:tcPr>
            <w:tcW w:w="15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20"/>
                <w:szCs w:val="20"/>
                <w:b w:val="1"/>
                <w:bCs w:val="1"/>
                <w:color w:val="auto"/>
              </w:rPr>
              <w:t>Against</w:t>
            </w:r>
          </w:p>
        </w:tc>
        <w:tc>
          <w:tcPr>
            <w:tcW w:w="1020" w:type="dxa"/>
            <w:vAlign w:val="bottom"/>
            <w:tcBorders>
              <w:top w:val="single" w:sz="8" w:color="auto"/>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20"/>
                <w:szCs w:val="20"/>
                <w:b w:val="1"/>
                <w:bCs w:val="1"/>
                <w:color w:val="auto"/>
              </w:rPr>
              <w:t>​​​</w:t>
            </w:r>
          </w:p>
        </w:tc>
        <w:tc>
          <w:tcPr>
            <w:tcW w:w="2280" w:type="dxa"/>
            <w:vAlign w:val="bottom"/>
            <w:tcBorders>
              <w:top w:val="single" w:sz="8" w:color="auto"/>
              <w:bottom w:val="single" w:sz="8" w:color="CCEEFF"/>
              <w:right w:val="single" w:sz="8" w:color="auto"/>
            </w:tcBorders>
            <w:shd w:val="clear" w:color="auto" w:fill="CCEEFF"/>
          </w:tcPr>
          <w:p>
            <w:pPr>
              <w:jc w:val="center"/>
              <w:ind w:right="481"/>
              <w:spacing w:after="0"/>
              <w:rPr>
                <w:sz w:val="20"/>
                <w:szCs w:val="20"/>
                <w:color w:val="auto"/>
              </w:rPr>
            </w:pPr>
            <w:r>
              <w:rPr>
                <w:rFonts w:ascii="Times New Roman" w:cs="Times New Roman" w:eastAsia="Times New Roman" w:hAnsi="Times New Roman"/>
                <w:sz w:val="20"/>
                <w:szCs w:val="20"/>
                <w:b w:val="1"/>
                <w:bCs w:val="1"/>
                <w:color w:val="auto"/>
                <w:w w:val="98"/>
              </w:rPr>
              <w:t>Abstain</w:t>
            </w:r>
          </w:p>
        </w:tc>
      </w:tr>
      <w:tr>
        <w:trPr>
          <w:trHeight w:val="256"/>
        </w:trPr>
        <w:tc>
          <w:tcPr>
            <w:tcW w:w="2700" w:type="dxa"/>
            <w:vAlign w:val="bottom"/>
            <w:tcBorders>
              <w:top w:val="single" w:sz="8" w:color="auto"/>
              <w:left w:val="single" w:sz="8" w:color="auto"/>
              <w:right w:val="single" w:sz="8" w:color="auto"/>
            </w:tcBorders>
          </w:tcPr>
          <w:p>
            <w:pPr>
              <w:jc w:val="right"/>
              <w:ind w:right="761"/>
              <w:spacing w:after="0"/>
              <w:rPr>
                <w:sz w:val="20"/>
                <w:szCs w:val="20"/>
                <w:color w:val="auto"/>
              </w:rPr>
            </w:pPr>
            <w:r>
              <w:rPr>
                <w:rFonts w:ascii="Times New Roman" w:cs="Times New Roman" w:eastAsia="Times New Roman" w:hAnsi="Times New Roman"/>
                <w:sz w:val="20"/>
                <w:szCs w:val="20"/>
                <w:color w:val="auto"/>
              </w:rPr>
              <w:t>750,552,296</w:t>
            </w:r>
          </w:p>
        </w:tc>
        <w:tc>
          <w:tcPr>
            <w:tcW w:w="600" w:type="dxa"/>
            <w:vAlign w:val="bottom"/>
            <w:tcBorders>
              <w:top w:val="single" w:sz="8" w:color="auto"/>
            </w:tcBorders>
          </w:tcPr>
          <w:p>
            <w:pPr>
              <w:spacing w:after="0"/>
              <w:rPr>
                <w:sz w:val="22"/>
                <w:szCs w:val="22"/>
                <w:color w:val="auto"/>
              </w:rPr>
            </w:pPr>
          </w:p>
        </w:tc>
        <w:tc>
          <w:tcPr>
            <w:tcW w:w="1580" w:type="dxa"/>
            <w:vAlign w:val="bottom"/>
            <w:tcBorders>
              <w:top w:val="single" w:sz="8" w:color="auto"/>
            </w:tcBorders>
          </w:tcPr>
          <w:p>
            <w:pPr>
              <w:jc w:val="right"/>
              <w:ind w:right="341"/>
              <w:spacing w:after="0"/>
              <w:rPr>
                <w:sz w:val="20"/>
                <w:szCs w:val="20"/>
                <w:color w:val="auto"/>
              </w:rPr>
            </w:pPr>
            <w:r>
              <w:rPr>
                <w:rFonts w:ascii="Times New Roman" w:cs="Times New Roman" w:eastAsia="Times New Roman" w:hAnsi="Times New Roman"/>
                <w:sz w:val="20"/>
                <w:szCs w:val="20"/>
                <w:color w:val="auto"/>
              </w:rPr>
              <w:t>2,419,638</w:t>
            </w:r>
          </w:p>
        </w:tc>
        <w:tc>
          <w:tcPr>
            <w:tcW w:w="1020" w:type="dxa"/>
            <w:vAlign w:val="bottom"/>
            <w:tcBorders>
              <w:top w:val="single" w:sz="8" w:color="auto"/>
            </w:tcBorders>
          </w:tcPr>
          <w:p>
            <w:pPr>
              <w:spacing w:after="0"/>
              <w:rPr>
                <w:sz w:val="22"/>
                <w:szCs w:val="22"/>
                <w:color w:val="auto"/>
              </w:rPr>
            </w:pPr>
          </w:p>
        </w:tc>
        <w:tc>
          <w:tcPr>
            <w:tcW w:w="2280" w:type="dxa"/>
            <w:vAlign w:val="bottom"/>
            <w:tcBorders>
              <w:top w:val="single" w:sz="8" w:color="auto"/>
              <w:right w:val="single" w:sz="8" w:color="auto"/>
            </w:tcBorders>
          </w:tcPr>
          <w:p>
            <w:pPr>
              <w:jc w:val="right"/>
              <w:ind w:right="921"/>
              <w:spacing w:after="0"/>
              <w:rPr>
                <w:sz w:val="20"/>
                <w:szCs w:val="20"/>
                <w:color w:val="auto"/>
              </w:rPr>
            </w:pPr>
            <w:r>
              <w:rPr>
                <w:rFonts w:ascii="Times New Roman" w:cs="Times New Roman" w:eastAsia="Times New Roman" w:hAnsi="Times New Roman"/>
                <w:sz w:val="20"/>
                <w:szCs w:val="20"/>
                <w:color w:val="auto"/>
              </w:rPr>
              <w:t>2,287,396</w:t>
            </w:r>
          </w:p>
        </w:tc>
      </w:tr>
      <w:tr>
        <w:trPr>
          <w:trHeight w:val="21"/>
        </w:trPr>
        <w:tc>
          <w:tcPr>
            <w:tcW w:w="27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r>
      <w:tr>
        <w:trPr>
          <w:trHeight w:val="485"/>
        </w:trPr>
        <w:tc>
          <w:tcPr>
            <w:tcW w:w="270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This item was approved.</w:t>
            </w:r>
          </w:p>
        </w:tc>
        <w:tc>
          <w:tcPr>
            <w:tcW w:w="6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80" w:type="dxa"/>
            <w:vAlign w:val="bottom"/>
          </w:tcPr>
          <w:p>
            <w:pPr>
              <w:spacing w:after="0"/>
              <w:rPr>
                <w:sz w:val="24"/>
                <w:szCs w:val="24"/>
                <w:color w:val="auto"/>
              </w:rPr>
            </w:pPr>
          </w:p>
        </w:tc>
      </w:tr>
    </w:tbl>
    <w:p>
      <w:pPr>
        <w:spacing w:after="0" w:line="282" w:lineRule="exact"/>
        <w:rPr>
          <w:sz w:val="20"/>
          <w:szCs w:val="20"/>
          <w:color w:val="auto"/>
        </w:rPr>
      </w:pPr>
    </w:p>
    <w:p>
      <w:pPr>
        <w:ind w:left="880" w:right="239" w:hanging="320"/>
        <w:spacing w:after="0" w:line="269" w:lineRule="auto"/>
        <w:tabs>
          <w:tab w:leader="none" w:pos="88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 Proposal regarding the advisory vote to approve the Company’s Swiss Statutory Compensation Report for Fiscal Year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90170</wp:posOffset>
            </wp:positionV>
            <wp:extent cx="8255" cy="386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255" cy="386080"/>
                    </a:xfrm>
                    <a:prstGeom prst="rect">
                      <a:avLst/>
                    </a:prstGeom>
                    <a:noFill/>
                  </pic:spPr>
                </pic:pic>
              </a:graphicData>
            </a:graphic>
          </wp:anchor>
        </w:drawing>
      </w:r>
    </w:p>
    <w:p>
      <w:pPr>
        <w:spacing w:after="0" w:line="102" w:lineRule="exact"/>
        <w:rPr>
          <w:sz w:val="20"/>
          <w:szCs w:val="20"/>
          <w:color w:val="auto"/>
        </w:rPr>
      </w:pPr>
    </w:p>
    <w:tbl>
      <w:tblPr>
        <w:tblLayout w:type="fixed"/>
        <w:tblInd w:w="430" w:type="dxa"/>
        <w:tblCellMar>
          <w:top w:w="0" w:type="dxa"/>
          <w:left w:w="0" w:type="dxa"/>
          <w:bottom w:w="0" w:type="dxa"/>
          <w:right w:w="0" w:type="dxa"/>
        </w:tblCellMar>
      </w:tblPr>
      <w:tr>
        <w:trPr>
          <w:trHeight w:val="302"/>
        </w:trPr>
        <w:tc>
          <w:tcPr>
            <w:tcW w:w="2020" w:type="dxa"/>
            <w:vAlign w:val="bottom"/>
            <w:tcBorders>
              <w:top w:val="single" w:sz="8" w:color="auto"/>
              <w:left w:val="single" w:sz="8" w:color="auto"/>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20"/>
                <w:szCs w:val="20"/>
                <w:b w:val="1"/>
                <w:bCs w:val="1"/>
                <w:color w:val="auto"/>
                <w:w w:val="96"/>
              </w:rPr>
              <w:t>For</w:t>
            </w:r>
          </w:p>
        </w:tc>
        <w:tc>
          <w:tcPr>
            <w:tcW w:w="380" w:type="dxa"/>
            <w:vAlign w:val="bottom"/>
            <w:tcBorders>
              <w:top w:val="single" w:sz="8" w:color="auto"/>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20"/>
                <w:szCs w:val="20"/>
                <w:b w:val="1"/>
                <w:bCs w:val="1"/>
                <w:color w:val="auto"/>
              </w:rPr>
              <w:t>​​​</w:t>
            </w:r>
          </w:p>
        </w:tc>
        <w:tc>
          <w:tcPr>
            <w:tcW w:w="12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Against</w:t>
            </w:r>
          </w:p>
        </w:tc>
        <w:tc>
          <w:tcPr>
            <w:tcW w:w="660" w:type="dxa"/>
            <w:vAlign w:val="bottom"/>
            <w:tcBorders>
              <w:top w:val="single" w:sz="8" w:color="auto"/>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20"/>
                <w:szCs w:val="20"/>
                <w:b w:val="1"/>
                <w:bCs w:val="1"/>
                <w:color w:val="auto"/>
              </w:rPr>
              <w:t>​​​</w:t>
            </w:r>
          </w:p>
        </w:tc>
        <w:tc>
          <w:tcPr>
            <w:tcW w:w="1680" w:type="dxa"/>
            <w:vAlign w:val="bottom"/>
            <w:tcBorders>
              <w:top w:val="single" w:sz="8" w:color="auto"/>
              <w:bottom w:val="single" w:sz="8" w:color="CCEEFF"/>
              <w:right w:val="single" w:sz="8" w:color="auto"/>
            </w:tcBorders>
            <w:shd w:val="clear" w:color="auto" w:fill="CCEEFF"/>
          </w:tcPr>
          <w:p>
            <w:pPr>
              <w:jc w:val="center"/>
              <w:ind w:right="241"/>
              <w:spacing w:after="0"/>
              <w:rPr>
                <w:sz w:val="20"/>
                <w:szCs w:val="20"/>
                <w:color w:val="auto"/>
              </w:rPr>
            </w:pPr>
            <w:r>
              <w:rPr>
                <w:rFonts w:ascii="Times New Roman" w:cs="Times New Roman" w:eastAsia="Times New Roman" w:hAnsi="Times New Roman"/>
                <w:sz w:val="20"/>
                <w:szCs w:val="20"/>
                <w:b w:val="1"/>
                <w:bCs w:val="1"/>
                <w:color w:val="auto"/>
                <w:w w:val="98"/>
              </w:rPr>
              <w:t>Abstain</w:t>
            </w:r>
          </w:p>
        </w:tc>
        <w:tc>
          <w:tcPr>
            <w:tcW w:w="2180" w:type="dxa"/>
            <w:vAlign w:val="bottom"/>
            <w:tcBorders>
              <w:top w:val="single" w:sz="8" w:color="auto"/>
              <w:bottom w:val="single" w:sz="8" w:color="CCEEFF"/>
              <w:right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20"/>
                <w:szCs w:val="20"/>
                <w:b w:val="1"/>
                <w:bCs w:val="1"/>
                <w:color w:val="auto"/>
              </w:rPr>
              <w:t>​​​  Broker Non-Votes</w:t>
            </w:r>
          </w:p>
        </w:tc>
      </w:tr>
      <w:tr>
        <w:trPr>
          <w:trHeight w:val="256"/>
        </w:trPr>
        <w:tc>
          <w:tcPr>
            <w:tcW w:w="2020" w:type="dxa"/>
            <w:vAlign w:val="bottom"/>
            <w:tcBorders>
              <w:top w:val="single" w:sz="8" w:color="auto"/>
              <w:left w:val="single" w:sz="8" w:color="auto"/>
              <w:right w:val="single" w:sz="8" w:color="auto"/>
            </w:tcBorders>
          </w:tcPr>
          <w:p>
            <w:pPr>
              <w:jc w:val="right"/>
              <w:ind w:right="421"/>
              <w:spacing w:after="0"/>
              <w:rPr>
                <w:sz w:val="20"/>
                <w:szCs w:val="20"/>
                <w:color w:val="auto"/>
              </w:rPr>
            </w:pPr>
            <w:r>
              <w:rPr>
                <w:rFonts w:ascii="Times New Roman" w:cs="Times New Roman" w:eastAsia="Times New Roman" w:hAnsi="Times New Roman"/>
                <w:sz w:val="20"/>
                <w:szCs w:val="20"/>
                <w:color w:val="auto"/>
              </w:rPr>
              <w:t>594,938,365</w:t>
            </w:r>
          </w:p>
        </w:tc>
        <w:tc>
          <w:tcPr>
            <w:tcW w:w="38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jc w:val="right"/>
              <w:ind w:right="121"/>
              <w:spacing w:after="0"/>
              <w:rPr>
                <w:sz w:val="20"/>
                <w:szCs w:val="20"/>
                <w:color w:val="auto"/>
              </w:rPr>
            </w:pPr>
            <w:r>
              <w:rPr>
                <w:rFonts w:ascii="Times New Roman" w:cs="Times New Roman" w:eastAsia="Times New Roman" w:hAnsi="Times New Roman"/>
                <w:sz w:val="20"/>
                <w:szCs w:val="20"/>
                <w:color w:val="auto"/>
              </w:rPr>
              <w:t>32,140,199</w:t>
            </w:r>
          </w:p>
        </w:tc>
        <w:tc>
          <w:tcPr>
            <w:tcW w:w="660" w:type="dxa"/>
            <w:vAlign w:val="bottom"/>
            <w:tcBorders>
              <w:top w:val="single" w:sz="8" w:color="auto"/>
            </w:tcBorders>
          </w:tcPr>
          <w:p>
            <w:pPr>
              <w:spacing w:after="0"/>
              <w:rPr>
                <w:sz w:val="22"/>
                <w:szCs w:val="22"/>
                <w:color w:val="auto"/>
              </w:rPr>
            </w:pPr>
          </w:p>
        </w:tc>
        <w:tc>
          <w:tcPr>
            <w:tcW w:w="1680" w:type="dxa"/>
            <w:vAlign w:val="bottom"/>
            <w:tcBorders>
              <w:top w:val="single" w:sz="8" w:color="auto"/>
              <w:right w:val="single" w:sz="8" w:color="auto"/>
            </w:tcBorders>
          </w:tcPr>
          <w:p>
            <w:pPr>
              <w:jc w:val="right"/>
              <w:ind w:right="521"/>
              <w:spacing w:after="0"/>
              <w:rPr>
                <w:sz w:val="20"/>
                <w:szCs w:val="20"/>
                <w:color w:val="auto"/>
              </w:rPr>
            </w:pPr>
            <w:r>
              <w:rPr>
                <w:rFonts w:ascii="Times New Roman" w:cs="Times New Roman" w:eastAsia="Times New Roman" w:hAnsi="Times New Roman"/>
                <w:sz w:val="20"/>
                <w:szCs w:val="20"/>
                <w:color w:val="auto"/>
              </w:rPr>
              <w:t>1,896,023</w:t>
            </w:r>
          </w:p>
        </w:tc>
        <w:tc>
          <w:tcPr>
            <w:tcW w:w="2180" w:type="dxa"/>
            <w:vAlign w:val="bottom"/>
            <w:tcBorders>
              <w:top w:val="single" w:sz="8" w:color="auto"/>
              <w:right w:val="single" w:sz="8" w:color="auto"/>
            </w:tcBorders>
          </w:tcPr>
          <w:p>
            <w:pPr>
              <w:jc w:val="right"/>
              <w:ind w:right="441"/>
              <w:spacing w:after="0"/>
              <w:rPr>
                <w:sz w:val="20"/>
                <w:szCs w:val="20"/>
                <w:color w:val="auto"/>
              </w:rPr>
            </w:pPr>
            <w:r>
              <w:rPr>
                <w:rFonts w:ascii="Times New Roman" w:cs="Times New Roman" w:eastAsia="Times New Roman" w:hAnsi="Times New Roman"/>
                <w:sz w:val="20"/>
                <w:szCs w:val="20"/>
                <w:color w:val="auto"/>
              </w:rPr>
              <w:t>126,284,743</w:t>
            </w:r>
          </w:p>
        </w:tc>
      </w:tr>
      <w:tr>
        <w:trPr>
          <w:trHeight w:val="21"/>
        </w:trPr>
        <w:tc>
          <w:tcPr>
            <w:tcW w:w="20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2180" w:type="dxa"/>
            <w:vAlign w:val="bottom"/>
            <w:tcBorders>
              <w:bottom w:val="single" w:sz="8" w:color="auto"/>
              <w:right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This item was approved.</w:t>
      </w:r>
    </w:p>
    <w:p>
      <w:pPr>
        <w:spacing w:after="0" w:line="310" w:lineRule="exact"/>
        <w:rPr>
          <w:sz w:val="20"/>
          <w:szCs w:val="20"/>
          <w:color w:val="auto"/>
        </w:rPr>
      </w:pPr>
    </w:p>
    <w:p>
      <w:pPr>
        <w:ind w:left="880" w:right="219" w:hanging="320"/>
        <w:spacing w:after="0" w:line="269" w:lineRule="auto"/>
        <w:tabs>
          <w:tab w:leader="none" w:pos="8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 Proposal regarding the advisory vote to approve the Company’s Swiss Statutory Report on Non-Financial Matters Report for Fiscal Year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3700145</wp:posOffset>
            </wp:positionH>
            <wp:positionV relativeFrom="paragraph">
              <wp:posOffset>90170</wp:posOffset>
            </wp:positionV>
            <wp:extent cx="8890" cy="3860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890" cy="386080"/>
                    </a:xfrm>
                    <a:prstGeom prst="rect">
                      <a:avLst/>
                    </a:prstGeom>
                    <a:noFill/>
                  </pic:spPr>
                </pic:pic>
              </a:graphicData>
            </a:graphic>
          </wp:anchor>
        </w:drawing>
      </w:r>
    </w:p>
    <w:p>
      <w:pPr>
        <w:spacing w:after="0" w:line="102" w:lineRule="exact"/>
        <w:rPr>
          <w:sz w:val="20"/>
          <w:szCs w:val="20"/>
          <w:color w:val="auto"/>
        </w:rPr>
      </w:pPr>
    </w:p>
    <w:tbl>
      <w:tblPr>
        <w:tblLayout w:type="fixed"/>
        <w:tblInd w:w="430" w:type="dxa"/>
        <w:tblCellMar>
          <w:top w:w="0" w:type="dxa"/>
          <w:left w:w="0" w:type="dxa"/>
          <w:bottom w:w="0" w:type="dxa"/>
          <w:right w:w="0" w:type="dxa"/>
        </w:tblCellMar>
      </w:tblPr>
      <w:tr>
        <w:trPr>
          <w:trHeight w:val="302"/>
        </w:trPr>
        <w:tc>
          <w:tcPr>
            <w:tcW w:w="2700" w:type="dxa"/>
            <w:vAlign w:val="bottom"/>
            <w:tcBorders>
              <w:top w:val="single" w:sz="8" w:color="auto"/>
              <w:left w:val="single" w:sz="8" w:color="auto"/>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20"/>
                <w:szCs w:val="20"/>
                <w:b w:val="1"/>
                <w:bCs w:val="1"/>
                <w:color w:val="auto"/>
                <w:w w:val="96"/>
              </w:rPr>
              <w:t>For</w:t>
            </w:r>
          </w:p>
        </w:tc>
        <w:tc>
          <w:tcPr>
            <w:tcW w:w="600" w:type="dxa"/>
            <w:vAlign w:val="bottom"/>
            <w:tcBorders>
              <w:top w:val="single" w:sz="8" w:color="auto"/>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20"/>
                <w:szCs w:val="20"/>
                <w:b w:val="1"/>
                <w:bCs w:val="1"/>
                <w:color w:val="auto"/>
              </w:rPr>
              <w:t>​​​</w:t>
            </w:r>
          </w:p>
        </w:tc>
        <w:tc>
          <w:tcPr>
            <w:tcW w:w="15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20"/>
                <w:szCs w:val="20"/>
                <w:b w:val="1"/>
                <w:bCs w:val="1"/>
                <w:color w:val="auto"/>
              </w:rPr>
              <w:t>Against</w:t>
            </w:r>
          </w:p>
        </w:tc>
        <w:tc>
          <w:tcPr>
            <w:tcW w:w="1020" w:type="dxa"/>
            <w:vAlign w:val="bottom"/>
            <w:tcBorders>
              <w:top w:val="single" w:sz="8" w:color="auto"/>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20"/>
                <w:szCs w:val="20"/>
                <w:b w:val="1"/>
                <w:bCs w:val="1"/>
                <w:color w:val="auto"/>
              </w:rPr>
              <w:t>​​​</w:t>
            </w:r>
          </w:p>
        </w:tc>
        <w:tc>
          <w:tcPr>
            <w:tcW w:w="2280" w:type="dxa"/>
            <w:vAlign w:val="bottom"/>
            <w:tcBorders>
              <w:top w:val="single" w:sz="8" w:color="auto"/>
              <w:bottom w:val="single" w:sz="8" w:color="CCEEFF"/>
              <w:right w:val="single" w:sz="8" w:color="auto"/>
            </w:tcBorders>
            <w:shd w:val="clear" w:color="auto" w:fill="CCEEFF"/>
          </w:tcPr>
          <w:p>
            <w:pPr>
              <w:jc w:val="center"/>
              <w:ind w:right="481"/>
              <w:spacing w:after="0"/>
              <w:rPr>
                <w:sz w:val="20"/>
                <w:szCs w:val="20"/>
                <w:color w:val="auto"/>
              </w:rPr>
            </w:pPr>
            <w:r>
              <w:rPr>
                <w:rFonts w:ascii="Times New Roman" w:cs="Times New Roman" w:eastAsia="Times New Roman" w:hAnsi="Times New Roman"/>
                <w:sz w:val="20"/>
                <w:szCs w:val="20"/>
                <w:b w:val="1"/>
                <w:bCs w:val="1"/>
                <w:color w:val="auto"/>
                <w:w w:val="98"/>
              </w:rPr>
              <w:t>Abstain</w:t>
            </w:r>
          </w:p>
        </w:tc>
      </w:tr>
      <w:tr>
        <w:trPr>
          <w:trHeight w:val="256"/>
        </w:trPr>
        <w:tc>
          <w:tcPr>
            <w:tcW w:w="2700" w:type="dxa"/>
            <w:vAlign w:val="bottom"/>
            <w:tcBorders>
              <w:top w:val="single" w:sz="8" w:color="auto"/>
              <w:left w:val="single" w:sz="8" w:color="auto"/>
              <w:right w:val="single" w:sz="8" w:color="auto"/>
            </w:tcBorders>
          </w:tcPr>
          <w:p>
            <w:pPr>
              <w:jc w:val="right"/>
              <w:ind w:right="761"/>
              <w:spacing w:after="0"/>
              <w:rPr>
                <w:sz w:val="20"/>
                <w:szCs w:val="20"/>
                <w:color w:val="auto"/>
              </w:rPr>
            </w:pPr>
            <w:r>
              <w:rPr>
                <w:rFonts w:ascii="Times New Roman" w:cs="Times New Roman" w:eastAsia="Times New Roman" w:hAnsi="Times New Roman"/>
                <w:sz w:val="20"/>
                <w:szCs w:val="20"/>
                <w:color w:val="auto"/>
              </w:rPr>
              <w:t>747,518,602</w:t>
            </w:r>
          </w:p>
        </w:tc>
        <w:tc>
          <w:tcPr>
            <w:tcW w:w="600" w:type="dxa"/>
            <w:vAlign w:val="bottom"/>
            <w:tcBorders>
              <w:top w:val="single" w:sz="8" w:color="auto"/>
            </w:tcBorders>
          </w:tcPr>
          <w:p>
            <w:pPr>
              <w:spacing w:after="0"/>
              <w:rPr>
                <w:sz w:val="22"/>
                <w:szCs w:val="22"/>
                <w:color w:val="auto"/>
              </w:rPr>
            </w:pPr>
          </w:p>
        </w:tc>
        <w:tc>
          <w:tcPr>
            <w:tcW w:w="1580" w:type="dxa"/>
            <w:vAlign w:val="bottom"/>
            <w:tcBorders>
              <w:top w:val="single" w:sz="8" w:color="auto"/>
            </w:tcBorders>
          </w:tcPr>
          <w:p>
            <w:pPr>
              <w:jc w:val="right"/>
              <w:ind w:right="341"/>
              <w:spacing w:after="0"/>
              <w:rPr>
                <w:sz w:val="20"/>
                <w:szCs w:val="20"/>
                <w:color w:val="auto"/>
              </w:rPr>
            </w:pPr>
            <w:r>
              <w:rPr>
                <w:rFonts w:ascii="Times New Roman" w:cs="Times New Roman" w:eastAsia="Times New Roman" w:hAnsi="Times New Roman"/>
                <w:sz w:val="20"/>
                <w:szCs w:val="20"/>
                <w:color w:val="auto"/>
              </w:rPr>
              <w:t>4,689,582</w:t>
            </w:r>
          </w:p>
        </w:tc>
        <w:tc>
          <w:tcPr>
            <w:tcW w:w="1020" w:type="dxa"/>
            <w:vAlign w:val="bottom"/>
            <w:tcBorders>
              <w:top w:val="single" w:sz="8" w:color="auto"/>
            </w:tcBorders>
          </w:tcPr>
          <w:p>
            <w:pPr>
              <w:spacing w:after="0"/>
              <w:rPr>
                <w:sz w:val="22"/>
                <w:szCs w:val="22"/>
                <w:color w:val="auto"/>
              </w:rPr>
            </w:pPr>
          </w:p>
        </w:tc>
        <w:tc>
          <w:tcPr>
            <w:tcW w:w="2280" w:type="dxa"/>
            <w:vAlign w:val="bottom"/>
            <w:tcBorders>
              <w:top w:val="single" w:sz="8" w:color="auto"/>
              <w:right w:val="single" w:sz="8" w:color="auto"/>
            </w:tcBorders>
          </w:tcPr>
          <w:p>
            <w:pPr>
              <w:jc w:val="right"/>
              <w:ind w:right="921"/>
              <w:spacing w:after="0"/>
              <w:rPr>
                <w:sz w:val="20"/>
                <w:szCs w:val="20"/>
                <w:color w:val="auto"/>
              </w:rPr>
            </w:pPr>
            <w:r>
              <w:rPr>
                <w:rFonts w:ascii="Times New Roman" w:cs="Times New Roman" w:eastAsia="Times New Roman" w:hAnsi="Times New Roman"/>
                <w:sz w:val="20"/>
                <w:szCs w:val="20"/>
                <w:color w:val="auto"/>
              </w:rPr>
              <w:t>3,051,146</w:t>
            </w:r>
          </w:p>
        </w:tc>
      </w:tr>
      <w:tr>
        <w:trPr>
          <w:trHeight w:val="21"/>
        </w:trPr>
        <w:tc>
          <w:tcPr>
            <w:tcW w:w="27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r>
      <w:tr>
        <w:trPr>
          <w:trHeight w:val="485"/>
        </w:trPr>
        <w:tc>
          <w:tcPr>
            <w:tcW w:w="270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This item was approved.</w:t>
            </w:r>
          </w:p>
        </w:tc>
        <w:tc>
          <w:tcPr>
            <w:tcW w:w="6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80" w:type="dxa"/>
            <w:vAlign w:val="bottom"/>
          </w:tcPr>
          <w:p>
            <w:pPr>
              <w:spacing w:after="0"/>
              <w:rPr>
                <w:sz w:val="24"/>
                <w:szCs w:val="24"/>
                <w:color w:val="auto"/>
              </w:rPr>
            </w:pPr>
          </w:p>
        </w:tc>
      </w:tr>
    </w:tbl>
    <w:p>
      <w:pPr>
        <w:spacing w:after="0" w:line="282" w:lineRule="exact"/>
        <w:rPr>
          <w:sz w:val="20"/>
          <w:szCs w:val="20"/>
          <w:color w:val="auto"/>
        </w:rPr>
      </w:pPr>
    </w:p>
    <w:p>
      <w:pPr>
        <w:ind w:left="880" w:right="239" w:hanging="320"/>
        <w:spacing w:after="0" w:line="269" w:lineRule="auto"/>
        <w:tabs>
          <w:tab w:leader="none" w:pos="88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Proposal regarding the discharge of the Members of the Board of Directors and the Executive Management Team from liability for activities during Fiscal Year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90170</wp:posOffset>
            </wp:positionV>
            <wp:extent cx="8255" cy="3860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255" cy="386080"/>
                    </a:xfrm>
                    <a:prstGeom prst="rect">
                      <a:avLst/>
                    </a:prstGeom>
                    <a:noFill/>
                  </pic:spPr>
                </pic:pic>
              </a:graphicData>
            </a:graphic>
          </wp:anchor>
        </w:drawing>
      </w:r>
    </w:p>
    <w:p>
      <w:pPr>
        <w:spacing w:after="0" w:line="102" w:lineRule="exact"/>
        <w:rPr>
          <w:sz w:val="20"/>
          <w:szCs w:val="20"/>
          <w:color w:val="auto"/>
        </w:rPr>
      </w:pPr>
    </w:p>
    <w:tbl>
      <w:tblPr>
        <w:tblLayout w:type="fixed"/>
        <w:tblInd w:w="430" w:type="dxa"/>
        <w:tblCellMar>
          <w:top w:w="0" w:type="dxa"/>
          <w:left w:w="0" w:type="dxa"/>
          <w:bottom w:w="0" w:type="dxa"/>
          <w:right w:w="0" w:type="dxa"/>
        </w:tblCellMar>
      </w:tblPr>
      <w:tr>
        <w:trPr>
          <w:trHeight w:val="302"/>
        </w:trPr>
        <w:tc>
          <w:tcPr>
            <w:tcW w:w="2020" w:type="dxa"/>
            <w:vAlign w:val="bottom"/>
            <w:tcBorders>
              <w:top w:val="single" w:sz="8" w:color="auto"/>
              <w:left w:val="single" w:sz="8" w:color="auto"/>
              <w:bottom w:val="single" w:sz="8" w:color="CCEEFF"/>
              <w:right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20"/>
                <w:szCs w:val="20"/>
                <w:b w:val="1"/>
                <w:bCs w:val="1"/>
                <w:color w:val="auto"/>
              </w:rPr>
              <w:t>For</w:t>
            </w:r>
          </w:p>
        </w:tc>
        <w:tc>
          <w:tcPr>
            <w:tcW w:w="440" w:type="dxa"/>
            <w:vAlign w:val="bottom"/>
            <w:tcBorders>
              <w:top w:val="single" w:sz="8" w:color="auto"/>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20"/>
                <w:szCs w:val="20"/>
                <w:b w:val="1"/>
                <w:bCs w:val="1"/>
                <w:color w:val="auto"/>
              </w:rPr>
              <w:t>​​​</w:t>
            </w:r>
          </w:p>
        </w:tc>
        <w:tc>
          <w:tcPr>
            <w:tcW w:w="1060" w:type="dxa"/>
            <w:vAlign w:val="bottom"/>
            <w:tcBorders>
              <w:top w:val="single" w:sz="8" w:color="auto"/>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Against</w:t>
            </w:r>
          </w:p>
        </w:tc>
        <w:tc>
          <w:tcPr>
            <w:tcW w:w="1000" w:type="dxa"/>
            <w:vAlign w:val="bottom"/>
            <w:tcBorders>
              <w:top w:val="single" w:sz="8" w:color="auto"/>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20"/>
                <w:szCs w:val="20"/>
                <w:b w:val="1"/>
                <w:bCs w:val="1"/>
                <w:color w:val="auto"/>
              </w:rPr>
              <w:t>​​​</w:t>
            </w:r>
          </w:p>
        </w:tc>
        <w:tc>
          <w:tcPr>
            <w:tcW w:w="1480" w:type="dxa"/>
            <w:vAlign w:val="bottom"/>
            <w:tcBorders>
              <w:top w:val="single" w:sz="8" w:color="auto"/>
              <w:bottom w:val="single" w:sz="8" w:color="CCEEFF"/>
              <w:right w:val="single" w:sz="8" w:color="auto"/>
            </w:tcBorders>
            <w:shd w:val="clear" w:color="auto" w:fill="CCEEFF"/>
          </w:tcPr>
          <w:p>
            <w:pPr>
              <w:jc w:val="right"/>
              <w:ind w:right="581"/>
              <w:spacing w:after="0"/>
              <w:rPr>
                <w:sz w:val="20"/>
                <w:szCs w:val="20"/>
                <w:color w:val="auto"/>
              </w:rPr>
            </w:pPr>
            <w:r>
              <w:rPr>
                <w:rFonts w:ascii="Times New Roman" w:cs="Times New Roman" w:eastAsia="Times New Roman" w:hAnsi="Times New Roman"/>
                <w:sz w:val="20"/>
                <w:szCs w:val="20"/>
                <w:b w:val="1"/>
                <w:bCs w:val="1"/>
                <w:color w:val="auto"/>
              </w:rPr>
              <w:t>Abstain</w:t>
            </w:r>
          </w:p>
        </w:tc>
        <w:tc>
          <w:tcPr>
            <w:tcW w:w="2180" w:type="dxa"/>
            <w:vAlign w:val="bottom"/>
            <w:tcBorders>
              <w:top w:val="single" w:sz="8" w:color="auto"/>
              <w:bottom w:val="single" w:sz="8" w:color="CCEEFF"/>
              <w:right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20"/>
                <w:szCs w:val="20"/>
                <w:b w:val="1"/>
                <w:bCs w:val="1"/>
                <w:color w:val="auto"/>
              </w:rPr>
              <w:t>​​​  Broker Non-Votes</w:t>
            </w:r>
          </w:p>
        </w:tc>
      </w:tr>
      <w:tr>
        <w:trPr>
          <w:trHeight w:val="256"/>
        </w:trPr>
        <w:tc>
          <w:tcPr>
            <w:tcW w:w="2020" w:type="dxa"/>
            <w:vAlign w:val="bottom"/>
            <w:tcBorders>
              <w:top w:val="single" w:sz="8" w:color="auto"/>
              <w:left w:val="single" w:sz="8" w:color="auto"/>
              <w:right w:val="single" w:sz="8" w:color="auto"/>
            </w:tcBorders>
          </w:tcPr>
          <w:p>
            <w:pPr>
              <w:jc w:val="right"/>
              <w:ind w:right="421"/>
              <w:spacing w:after="0"/>
              <w:rPr>
                <w:sz w:val="20"/>
                <w:szCs w:val="20"/>
                <w:color w:val="auto"/>
              </w:rPr>
            </w:pPr>
            <w:r>
              <w:rPr>
                <w:rFonts w:ascii="Times New Roman" w:cs="Times New Roman" w:eastAsia="Times New Roman" w:hAnsi="Times New Roman"/>
                <w:sz w:val="20"/>
                <w:szCs w:val="20"/>
                <w:color w:val="auto"/>
              </w:rPr>
              <w:t>598,427,310</w:t>
            </w:r>
          </w:p>
        </w:tc>
        <w:tc>
          <w:tcPr>
            <w:tcW w:w="44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16,840,333</w:t>
            </w:r>
          </w:p>
        </w:tc>
        <w:tc>
          <w:tcPr>
            <w:tcW w:w="1000" w:type="dxa"/>
            <w:vAlign w:val="bottom"/>
            <w:tcBorders>
              <w:top w:val="single" w:sz="8" w:color="auto"/>
            </w:tcBorders>
          </w:tcPr>
          <w:p>
            <w:pPr>
              <w:spacing w:after="0"/>
              <w:rPr>
                <w:sz w:val="22"/>
                <w:szCs w:val="22"/>
                <w:color w:val="auto"/>
              </w:rPr>
            </w:pPr>
          </w:p>
        </w:tc>
        <w:tc>
          <w:tcPr>
            <w:tcW w:w="1480" w:type="dxa"/>
            <w:vAlign w:val="bottom"/>
            <w:tcBorders>
              <w:top w:val="single" w:sz="8" w:color="auto"/>
              <w:right w:val="single" w:sz="8" w:color="auto"/>
            </w:tcBorders>
          </w:tcPr>
          <w:p>
            <w:pPr>
              <w:jc w:val="right"/>
              <w:ind w:right="461"/>
              <w:spacing w:after="0"/>
              <w:rPr>
                <w:sz w:val="20"/>
                <w:szCs w:val="20"/>
                <w:color w:val="auto"/>
              </w:rPr>
            </w:pPr>
            <w:r>
              <w:rPr>
                <w:rFonts w:ascii="Times New Roman" w:cs="Times New Roman" w:eastAsia="Times New Roman" w:hAnsi="Times New Roman"/>
                <w:sz w:val="20"/>
                <w:szCs w:val="20"/>
                <w:color w:val="auto"/>
                <w:w w:val="99"/>
              </w:rPr>
              <w:t>13,706,944</w:t>
            </w:r>
          </w:p>
        </w:tc>
        <w:tc>
          <w:tcPr>
            <w:tcW w:w="2180" w:type="dxa"/>
            <w:vAlign w:val="bottom"/>
            <w:tcBorders>
              <w:top w:val="single" w:sz="8" w:color="auto"/>
              <w:right w:val="single" w:sz="8" w:color="auto"/>
            </w:tcBorders>
          </w:tcPr>
          <w:p>
            <w:pPr>
              <w:jc w:val="right"/>
              <w:ind w:right="441"/>
              <w:spacing w:after="0"/>
              <w:rPr>
                <w:sz w:val="20"/>
                <w:szCs w:val="20"/>
                <w:color w:val="auto"/>
              </w:rPr>
            </w:pPr>
            <w:r>
              <w:rPr>
                <w:rFonts w:ascii="Times New Roman" w:cs="Times New Roman" w:eastAsia="Times New Roman" w:hAnsi="Times New Roman"/>
                <w:sz w:val="20"/>
                <w:szCs w:val="20"/>
                <w:color w:val="auto"/>
              </w:rPr>
              <w:t>126,284,743</w:t>
            </w:r>
          </w:p>
        </w:tc>
      </w:tr>
      <w:tr>
        <w:trPr>
          <w:trHeight w:val="21"/>
        </w:trPr>
        <w:tc>
          <w:tcPr>
            <w:tcW w:w="20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right w:val="single" w:sz="8" w:color="auto"/>
            </w:tcBorders>
          </w:tcPr>
          <w:p>
            <w:pPr>
              <w:spacing w:after="0" w:line="20" w:lineRule="exact"/>
              <w:rPr>
                <w:sz w:val="1"/>
                <w:szCs w:val="1"/>
                <w:color w:val="auto"/>
              </w:rPr>
            </w:pPr>
          </w:p>
        </w:tc>
        <w:tc>
          <w:tcPr>
            <w:tcW w:w="2180" w:type="dxa"/>
            <w:vAlign w:val="bottom"/>
            <w:tcBorders>
              <w:bottom w:val="single" w:sz="8" w:color="auto"/>
              <w:right w:val="single" w:sz="8" w:color="auto"/>
            </w:tcBorders>
          </w:tcPr>
          <w:p>
            <w:pPr>
              <w:spacing w:after="0" w:line="20" w:lineRule="exact"/>
              <w:rPr>
                <w:sz w:val="1"/>
                <w:szCs w:val="1"/>
                <w:color w:val="auto"/>
              </w:rPr>
            </w:pPr>
          </w:p>
        </w:tc>
      </w:tr>
      <w:tr>
        <w:trPr>
          <w:trHeight w:val="485"/>
        </w:trPr>
        <w:tc>
          <w:tcPr>
            <w:tcW w:w="2460" w:type="dxa"/>
            <w:vAlign w:val="bottom"/>
            <w:gridSpan w:val="2"/>
          </w:tcPr>
          <w:p>
            <w:pPr>
              <w:ind w:left="440"/>
              <w:spacing w:after="0"/>
              <w:rPr>
                <w:sz w:val="20"/>
                <w:szCs w:val="20"/>
                <w:color w:val="auto"/>
              </w:rPr>
            </w:pPr>
            <w:r>
              <w:rPr>
                <w:rFonts w:ascii="Times New Roman" w:cs="Times New Roman" w:eastAsia="Times New Roman" w:hAnsi="Times New Roman"/>
                <w:sz w:val="20"/>
                <w:szCs w:val="20"/>
                <w:color w:val="auto"/>
              </w:rPr>
              <w:t>This item was approved.</w:t>
            </w: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540"/>
        </w:trPr>
        <w:tc>
          <w:tcPr>
            <w:tcW w:w="8180" w:type="dxa"/>
            <w:vAlign w:val="bottom"/>
            <w:gridSpan w:val="7"/>
          </w:tcPr>
          <w:p>
            <w:pPr>
              <w:ind w:left="140"/>
              <w:spacing w:after="0"/>
              <w:rPr>
                <w:sz w:val="20"/>
                <w:szCs w:val="20"/>
                <w:color w:val="auto"/>
              </w:rPr>
            </w:pPr>
            <w:r>
              <w:rPr>
                <w:rFonts w:ascii="Times New Roman" w:cs="Times New Roman" w:eastAsia="Times New Roman" w:hAnsi="Times New Roman"/>
                <w:sz w:val="20"/>
                <w:szCs w:val="20"/>
                <w:color w:val="auto"/>
              </w:rPr>
              <w:t>3.  Proposal regarding the Appropriation of the Accumulated Losses for Fiscal Year 2025.</w:t>
            </w:r>
          </w:p>
        </w:tc>
      </w:tr>
      <w:tr>
        <w:trPr>
          <w:trHeight w:val="170"/>
        </w:trPr>
        <w:tc>
          <w:tcPr>
            <w:tcW w:w="20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tcPr>
          <w:p>
            <w:pPr>
              <w:spacing w:after="0"/>
              <w:rPr>
                <w:sz w:val="14"/>
                <w:szCs w:val="14"/>
                <w:color w:val="auto"/>
              </w:rPr>
            </w:pPr>
          </w:p>
        </w:tc>
      </w:tr>
      <w:tr>
        <w:trPr>
          <w:trHeight w:val="282"/>
        </w:trPr>
        <w:tc>
          <w:tcPr>
            <w:tcW w:w="2020" w:type="dxa"/>
            <w:vAlign w:val="bottom"/>
            <w:tcBorders>
              <w:left w:val="single" w:sz="8" w:color="auto"/>
              <w:bottom w:val="single" w:sz="8" w:color="CCEEFF"/>
              <w:right w:val="single" w:sz="8" w:color="CCEEFF"/>
            </w:tcBorders>
            <w:shd w:val="clear" w:color="auto" w:fill="CCEEFF"/>
          </w:tcPr>
          <w:p>
            <w:pPr>
              <w:jc w:val="right"/>
              <w:ind w:right="421"/>
              <w:spacing w:after="0"/>
              <w:rPr>
                <w:sz w:val="20"/>
                <w:szCs w:val="20"/>
                <w:color w:val="auto"/>
              </w:rPr>
            </w:pPr>
            <w:r>
              <w:rPr>
                <w:rFonts w:ascii="Times New Roman" w:cs="Times New Roman" w:eastAsia="Times New Roman" w:hAnsi="Times New Roman"/>
                <w:sz w:val="20"/>
                <w:szCs w:val="20"/>
                <w:b w:val="1"/>
                <w:bCs w:val="1"/>
                <w:color w:val="auto"/>
              </w:rPr>
              <w:t>For</w:t>
            </w:r>
          </w:p>
        </w:tc>
        <w:tc>
          <w:tcPr>
            <w:tcW w:w="4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right w:val="single" w:sz="8" w:color="auto"/>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20"/>
                <w:szCs w:val="20"/>
                <w:b w:val="1"/>
                <w:bCs w:val="1"/>
                <w:color w:val="auto"/>
              </w:rPr>
              <w:t>​​​</w:t>
            </w:r>
          </w:p>
        </w:tc>
        <w:tc>
          <w:tcPr>
            <w:tcW w:w="10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20"/>
                <w:szCs w:val="20"/>
                <w:b w:val="1"/>
                <w:bCs w:val="1"/>
                <w:color w:val="auto"/>
              </w:rPr>
              <w:t>Against</w:t>
            </w:r>
          </w:p>
        </w:tc>
        <w:tc>
          <w:tcPr>
            <w:tcW w:w="1480" w:type="dxa"/>
            <w:vAlign w:val="bottom"/>
            <w:tcBorders>
              <w:bottom w:val="single" w:sz="8" w:color="CCEEFF"/>
              <w:right w:val="single" w:sz="8" w:color="CCEEFF"/>
            </w:tcBorders>
            <w:shd w:val="clear" w:color="auto" w:fill="CCEEFF"/>
          </w:tcPr>
          <w:p>
            <w:pPr>
              <w:jc w:val="right"/>
              <w:ind w:right="441"/>
              <w:spacing w:after="0"/>
              <w:rPr>
                <w:sz w:val="20"/>
                <w:szCs w:val="20"/>
                <w:color w:val="auto"/>
              </w:rPr>
            </w:pPr>
            <w:r>
              <w:rPr>
                <w:rFonts w:ascii="Times New Roman" w:cs="Times New Roman" w:eastAsia="Times New Roman" w:hAnsi="Times New Roman"/>
                <w:sz w:val="20"/>
                <w:szCs w:val="20"/>
                <w:b w:val="1"/>
                <w:bCs w:val="1"/>
                <w:color w:val="auto"/>
              </w:rPr>
              <w:t>​​​</w:t>
            </w:r>
          </w:p>
        </w:tc>
        <w:tc>
          <w:tcPr>
            <w:tcW w:w="2180" w:type="dxa"/>
            <w:vAlign w:val="bottom"/>
            <w:tcBorders>
              <w:bottom w:val="single" w:sz="8" w:color="CCEEFF"/>
              <w:right w:val="single" w:sz="8" w:color="auto"/>
            </w:tcBorders>
            <w:shd w:val="clear" w:color="auto" w:fill="CCEEFF"/>
          </w:tcPr>
          <w:p>
            <w:pPr>
              <w:jc w:val="center"/>
              <w:ind w:right="581"/>
              <w:spacing w:after="0"/>
              <w:rPr>
                <w:sz w:val="20"/>
                <w:szCs w:val="20"/>
                <w:color w:val="auto"/>
              </w:rPr>
            </w:pPr>
            <w:r>
              <w:rPr>
                <w:rFonts w:ascii="Times New Roman" w:cs="Times New Roman" w:eastAsia="Times New Roman" w:hAnsi="Times New Roman"/>
                <w:sz w:val="20"/>
                <w:szCs w:val="20"/>
                <w:b w:val="1"/>
                <w:bCs w:val="1"/>
                <w:color w:val="auto"/>
                <w:w w:val="98"/>
              </w:rPr>
              <w:t>Abstain</w:t>
            </w:r>
          </w:p>
        </w:tc>
      </w:tr>
      <w:tr>
        <w:trPr>
          <w:trHeight w:val="256"/>
        </w:trPr>
        <w:tc>
          <w:tcPr>
            <w:tcW w:w="2020" w:type="dxa"/>
            <w:vAlign w:val="bottom"/>
            <w:tcBorders>
              <w:top w:val="single" w:sz="8" w:color="auto"/>
              <w:left w:val="single" w:sz="8" w:color="auto"/>
            </w:tcBorders>
          </w:tcPr>
          <w:p>
            <w:pPr>
              <w:ind w:left="860"/>
              <w:spacing w:after="0"/>
              <w:rPr>
                <w:sz w:val="20"/>
                <w:szCs w:val="20"/>
                <w:color w:val="auto"/>
              </w:rPr>
            </w:pPr>
            <w:r>
              <w:rPr>
                <w:rFonts w:ascii="Times New Roman" w:cs="Times New Roman" w:eastAsia="Times New Roman" w:hAnsi="Times New Roman"/>
                <w:sz w:val="20"/>
                <w:szCs w:val="20"/>
                <w:color w:val="auto"/>
              </w:rPr>
              <w:t>736,519,216</w:t>
            </w:r>
          </w:p>
        </w:tc>
        <w:tc>
          <w:tcPr>
            <w:tcW w:w="440" w:type="dxa"/>
            <w:vAlign w:val="bottom"/>
            <w:tcBorders>
              <w:top w:val="single" w:sz="8" w:color="auto"/>
            </w:tcBorders>
          </w:tcPr>
          <w:p>
            <w:pPr>
              <w:spacing w:after="0"/>
              <w:rPr>
                <w:sz w:val="22"/>
                <w:szCs w:val="22"/>
                <w:color w:val="auto"/>
              </w:rPr>
            </w:pPr>
          </w:p>
        </w:tc>
        <w:tc>
          <w:tcPr>
            <w:tcW w:w="240" w:type="dxa"/>
            <w:vAlign w:val="bottom"/>
            <w:tcBorders>
              <w:top w:val="single" w:sz="8" w:color="auto"/>
              <w:right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15,910,244</w:t>
            </w:r>
          </w:p>
        </w:tc>
        <w:tc>
          <w:tcPr>
            <w:tcW w:w="1480" w:type="dxa"/>
            <w:vAlign w:val="bottom"/>
            <w:tcBorders>
              <w:top w:val="single" w:sz="8" w:color="auto"/>
            </w:tcBorders>
          </w:tcPr>
          <w:p>
            <w:pPr>
              <w:spacing w:after="0"/>
              <w:rPr>
                <w:sz w:val="22"/>
                <w:szCs w:val="22"/>
                <w:color w:val="auto"/>
              </w:rPr>
            </w:pPr>
          </w:p>
        </w:tc>
        <w:tc>
          <w:tcPr>
            <w:tcW w:w="2180" w:type="dxa"/>
            <w:vAlign w:val="bottom"/>
            <w:tcBorders>
              <w:top w:val="single" w:sz="8" w:color="auto"/>
              <w:right w:val="single" w:sz="8" w:color="auto"/>
            </w:tcBorders>
          </w:tcPr>
          <w:p>
            <w:pPr>
              <w:jc w:val="right"/>
              <w:ind w:right="921"/>
              <w:spacing w:after="0"/>
              <w:rPr>
                <w:sz w:val="20"/>
                <w:szCs w:val="20"/>
                <w:color w:val="auto"/>
              </w:rPr>
            </w:pPr>
            <w:r>
              <w:rPr>
                <w:rFonts w:ascii="Times New Roman" w:cs="Times New Roman" w:eastAsia="Times New Roman" w:hAnsi="Times New Roman"/>
                <w:sz w:val="20"/>
                <w:szCs w:val="20"/>
                <w:color w:val="auto"/>
              </w:rPr>
              <w:t>2,829,870</w:t>
            </w:r>
          </w:p>
        </w:tc>
      </w:tr>
      <w:tr>
        <w:trPr>
          <w:trHeight w:val="21"/>
        </w:trPr>
        <w:tc>
          <w:tcPr>
            <w:tcW w:w="202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right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3700145</wp:posOffset>
            </wp:positionH>
            <wp:positionV relativeFrom="paragraph">
              <wp:posOffset>-385445</wp:posOffset>
            </wp:positionV>
            <wp:extent cx="8890" cy="3860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890" cy="386080"/>
                    </a:xfrm>
                    <a:prstGeom prst="rect">
                      <a:avLst/>
                    </a:prstGeom>
                    <a:noFill/>
                  </pic:spPr>
                </pic:pic>
              </a:graphicData>
            </a:graphic>
          </wp:anchor>
        </w:drawing>
      </w:r>
    </w:p>
    <w:p>
      <w:pPr>
        <w:spacing w:after="0" w:line="21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This item was approved.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520065</wp:posOffset>
            </wp:positionV>
            <wp:extent cx="545211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3" w:name="page4"/>
    <w:bookmarkEnd w:id="3"/>
    <w:p>
      <w:pPr>
        <w:ind w:left="560"/>
        <w:spacing w:after="0"/>
        <w:tabs>
          <w:tab w:leader="none" w:pos="860" w:val="left"/>
        </w:tabs>
        <w:rPr>
          <w:sz w:val="20"/>
          <w:szCs w:val="20"/>
          <w:color w:val="auto"/>
        </w:rPr>
      </w:pPr>
      <w:r>
        <w:rPr>
          <w:rFonts w:ascii="Times New Roman" w:cs="Times New Roman" w:eastAsia="Times New Roman" w:hAnsi="Times New Roman"/>
          <w:sz w:val="20"/>
          <w:szCs w:val="20"/>
          <w:color w:val="auto"/>
        </w:rPr>
        <w:t>4.</w:t>
      </w:r>
      <w:r>
        <w:rPr>
          <w:sz w:val="20"/>
          <w:szCs w:val="20"/>
          <w:color w:val="auto"/>
        </w:rPr>
        <w:tab/>
      </w:r>
      <w:r>
        <w:rPr>
          <w:rFonts w:ascii="Times New Roman" w:cs="Times New Roman" w:eastAsia="Times New Roman" w:hAnsi="Times New Roman"/>
          <w:sz w:val="19"/>
          <w:szCs w:val="19"/>
          <w:color w:val="auto"/>
        </w:rPr>
        <w:t>Proposal regarding the approval of Shares authorized for issuance.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3700145</wp:posOffset>
            </wp:positionH>
            <wp:positionV relativeFrom="paragraph">
              <wp:posOffset>125095</wp:posOffset>
            </wp:positionV>
            <wp:extent cx="8890" cy="3943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890" cy="394335"/>
                    </a:xfrm>
                    <a:prstGeom prst="rect">
                      <a:avLst/>
                    </a:prstGeom>
                    <a:noFill/>
                  </pic:spPr>
                </pic:pic>
              </a:graphicData>
            </a:graphic>
          </wp:anchor>
        </w:drawing>
      </w:r>
    </w:p>
    <w:p>
      <w:pPr>
        <w:spacing w:after="0" w:line="157" w:lineRule="exact"/>
        <w:rPr>
          <w:sz w:val="20"/>
          <w:szCs w:val="20"/>
          <w:color w:val="auto"/>
        </w:rPr>
      </w:pPr>
    </w:p>
    <w:tbl>
      <w:tblPr>
        <w:tblLayout w:type="fixed"/>
        <w:tblInd w:w="430" w:type="dxa"/>
        <w:tblCellMar>
          <w:top w:w="0" w:type="dxa"/>
          <w:left w:w="0" w:type="dxa"/>
          <w:bottom w:w="0" w:type="dxa"/>
          <w:right w:w="0" w:type="dxa"/>
        </w:tblCellMar>
      </w:tblPr>
      <w:tr>
        <w:trPr>
          <w:trHeight w:val="316"/>
        </w:trPr>
        <w:tc>
          <w:tcPr>
            <w:tcW w:w="2700" w:type="dxa"/>
            <w:vAlign w:val="bottom"/>
            <w:tcBorders>
              <w:top w:val="single" w:sz="8" w:color="auto"/>
              <w:left w:val="single" w:sz="8" w:color="auto"/>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20"/>
                <w:szCs w:val="20"/>
                <w:b w:val="1"/>
                <w:bCs w:val="1"/>
                <w:color w:val="auto"/>
                <w:w w:val="96"/>
              </w:rPr>
              <w:t>For</w:t>
            </w:r>
          </w:p>
        </w:tc>
        <w:tc>
          <w:tcPr>
            <w:tcW w:w="580" w:type="dxa"/>
            <w:vAlign w:val="bottom"/>
            <w:tcBorders>
              <w:top w:val="single" w:sz="8" w:color="auto"/>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20"/>
                <w:szCs w:val="20"/>
                <w:b w:val="1"/>
                <w:bCs w:val="1"/>
                <w:color w:val="auto"/>
              </w:rPr>
              <w:t>​​​</w:t>
            </w:r>
          </w:p>
        </w:tc>
        <w:tc>
          <w:tcPr>
            <w:tcW w:w="16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20"/>
                <w:szCs w:val="20"/>
                <w:b w:val="1"/>
                <w:bCs w:val="1"/>
                <w:color w:val="auto"/>
              </w:rPr>
              <w:t>Against</w:t>
            </w:r>
          </w:p>
        </w:tc>
        <w:tc>
          <w:tcPr>
            <w:tcW w:w="980" w:type="dxa"/>
            <w:vAlign w:val="bottom"/>
            <w:tcBorders>
              <w:top w:val="single" w:sz="8" w:color="auto"/>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20"/>
                <w:szCs w:val="20"/>
                <w:b w:val="1"/>
                <w:bCs w:val="1"/>
                <w:color w:val="auto"/>
              </w:rPr>
              <w:t>​​​</w:t>
            </w:r>
          </w:p>
        </w:tc>
        <w:tc>
          <w:tcPr>
            <w:tcW w:w="2300" w:type="dxa"/>
            <w:vAlign w:val="bottom"/>
            <w:tcBorders>
              <w:top w:val="single" w:sz="8" w:color="auto"/>
              <w:bottom w:val="single" w:sz="8" w:color="CCEEFF"/>
              <w:right w:val="single" w:sz="8" w:color="auto"/>
            </w:tcBorders>
            <w:shd w:val="clear" w:color="auto" w:fill="CCEEFF"/>
          </w:tcPr>
          <w:p>
            <w:pPr>
              <w:jc w:val="center"/>
              <w:ind w:right="461"/>
              <w:spacing w:after="0"/>
              <w:rPr>
                <w:sz w:val="20"/>
                <w:szCs w:val="20"/>
                <w:color w:val="auto"/>
              </w:rPr>
            </w:pPr>
            <w:r>
              <w:rPr>
                <w:rFonts w:ascii="Times New Roman" w:cs="Times New Roman" w:eastAsia="Times New Roman" w:hAnsi="Times New Roman"/>
                <w:sz w:val="20"/>
                <w:szCs w:val="20"/>
                <w:b w:val="1"/>
                <w:bCs w:val="1"/>
                <w:color w:val="auto"/>
                <w:w w:val="98"/>
              </w:rPr>
              <w:t>Abstain</w:t>
            </w:r>
          </w:p>
        </w:tc>
      </w:tr>
      <w:tr>
        <w:trPr>
          <w:trHeight w:val="256"/>
        </w:trPr>
        <w:tc>
          <w:tcPr>
            <w:tcW w:w="2700" w:type="dxa"/>
            <w:vAlign w:val="bottom"/>
            <w:tcBorders>
              <w:top w:val="single" w:sz="8" w:color="auto"/>
              <w:left w:val="single" w:sz="8" w:color="auto"/>
              <w:right w:val="single" w:sz="8" w:color="auto"/>
            </w:tcBorders>
          </w:tcPr>
          <w:p>
            <w:pPr>
              <w:jc w:val="right"/>
              <w:ind w:right="761"/>
              <w:spacing w:after="0"/>
              <w:rPr>
                <w:sz w:val="20"/>
                <w:szCs w:val="20"/>
                <w:color w:val="auto"/>
              </w:rPr>
            </w:pPr>
            <w:r>
              <w:rPr>
                <w:rFonts w:ascii="Times New Roman" w:cs="Times New Roman" w:eastAsia="Times New Roman" w:hAnsi="Times New Roman"/>
                <w:sz w:val="20"/>
                <w:szCs w:val="20"/>
                <w:color w:val="auto"/>
              </w:rPr>
              <w:t>689,986,288</w:t>
            </w:r>
          </w:p>
        </w:tc>
        <w:tc>
          <w:tcPr>
            <w:tcW w:w="580" w:type="dxa"/>
            <w:vAlign w:val="bottom"/>
            <w:tcBorders>
              <w:top w:val="single" w:sz="8" w:color="auto"/>
            </w:tcBorders>
          </w:tcPr>
          <w:p>
            <w:pPr>
              <w:spacing w:after="0"/>
              <w:rPr>
                <w:sz w:val="22"/>
                <w:szCs w:val="22"/>
                <w:color w:val="auto"/>
              </w:rPr>
            </w:pPr>
          </w:p>
        </w:tc>
        <w:tc>
          <w:tcPr>
            <w:tcW w:w="1620" w:type="dxa"/>
            <w:vAlign w:val="bottom"/>
            <w:tcBorders>
              <w:top w:val="single" w:sz="8" w:color="auto"/>
            </w:tcBorders>
          </w:tcPr>
          <w:p>
            <w:pPr>
              <w:jc w:val="right"/>
              <w:ind w:right="301"/>
              <w:spacing w:after="0"/>
              <w:rPr>
                <w:sz w:val="20"/>
                <w:szCs w:val="20"/>
                <w:color w:val="auto"/>
              </w:rPr>
            </w:pPr>
            <w:r>
              <w:rPr>
                <w:rFonts w:ascii="Times New Roman" w:cs="Times New Roman" w:eastAsia="Times New Roman" w:hAnsi="Times New Roman"/>
                <w:sz w:val="20"/>
                <w:szCs w:val="20"/>
                <w:color w:val="auto"/>
              </w:rPr>
              <w:t>25,485,761</w:t>
            </w:r>
          </w:p>
        </w:tc>
        <w:tc>
          <w:tcPr>
            <w:tcW w:w="980" w:type="dxa"/>
            <w:vAlign w:val="bottom"/>
            <w:tcBorders>
              <w:top w:val="single" w:sz="8" w:color="auto"/>
            </w:tcBorders>
          </w:tcPr>
          <w:p>
            <w:pPr>
              <w:spacing w:after="0"/>
              <w:rPr>
                <w:sz w:val="22"/>
                <w:szCs w:val="22"/>
                <w:color w:val="auto"/>
              </w:rPr>
            </w:pPr>
          </w:p>
        </w:tc>
        <w:tc>
          <w:tcPr>
            <w:tcW w:w="2300" w:type="dxa"/>
            <w:vAlign w:val="bottom"/>
            <w:tcBorders>
              <w:top w:val="single" w:sz="8" w:color="auto"/>
              <w:right w:val="single" w:sz="8" w:color="auto"/>
            </w:tcBorders>
          </w:tcPr>
          <w:p>
            <w:pPr>
              <w:jc w:val="right"/>
              <w:ind w:right="881"/>
              <w:spacing w:after="0"/>
              <w:rPr>
                <w:sz w:val="20"/>
                <w:szCs w:val="20"/>
                <w:color w:val="auto"/>
              </w:rPr>
            </w:pPr>
            <w:r>
              <w:rPr>
                <w:rFonts w:ascii="Times New Roman" w:cs="Times New Roman" w:eastAsia="Times New Roman" w:hAnsi="Times New Roman"/>
                <w:sz w:val="20"/>
                <w:szCs w:val="20"/>
                <w:color w:val="auto"/>
              </w:rPr>
              <w:t>39,787,281</w:t>
            </w:r>
          </w:p>
        </w:tc>
      </w:tr>
      <w:tr>
        <w:trPr>
          <w:trHeight w:val="21"/>
        </w:trPr>
        <w:tc>
          <w:tcPr>
            <w:tcW w:w="27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right w:val="single" w:sz="8" w:color="auto"/>
            </w:tcBorders>
          </w:tcPr>
          <w:p>
            <w:pPr>
              <w:spacing w:after="0" w:line="20" w:lineRule="exact"/>
              <w:rPr>
                <w:sz w:val="1"/>
                <w:szCs w:val="1"/>
                <w:color w:val="auto"/>
              </w:rPr>
            </w:pPr>
          </w:p>
        </w:tc>
      </w:tr>
      <w:tr>
        <w:trPr>
          <w:trHeight w:val="486"/>
        </w:trPr>
        <w:tc>
          <w:tcPr>
            <w:tcW w:w="270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This item was approved.</w:t>
            </w:r>
          </w:p>
        </w:tc>
        <w:tc>
          <w:tcPr>
            <w:tcW w:w="5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300" w:type="dxa"/>
            <w:vAlign w:val="bottom"/>
          </w:tcPr>
          <w:p>
            <w:pPr>
              <w:spacing w:after="0"/>
              <w:rPr>
                <w:sz w:val="24"/>
                <w:szCs w:val="24"/>
                <w:color w:val="auto"/>
              </w:rPr>
            </w:pPr>
          </w:p>
        </w:tc>
      </w:tr>
    </w:tbl>
    <w:p>
      <w:pPr>
        <w:spacing w:after="0" w:line="282" w:lineRule="exact"/>
        <w:rPr>
          <w:sz w:val="20"/>
          <w:szCs w:val="20"/>
          <w:color w:val="auto"/>
        </w:rPr>
      </w:pPr>
    </w:p>
    <w:p>
      <w:pPr>
        <w:ind w:left="880" w:right="240" w:hanging="320"/>
        <w:spacing w:after="0" w:line="269" w:lineRule="auto"/>
        <w:tabs>
          <w:tab w:leader="none" w:pos="88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Proposals regarding the election of 11 directors, each for a term extending until completion of the next Annual General Meeting.</w:t>
      </w:r>
    </w:p>
    <w:p>
      <w:pPr>
        <w:spacing w:after="0" w:line="189" w:lineRule="exact"/>
        <w:rPr>
          <w:sz w:val="20"/>
          <w:szCs w:val="20"/>
          <w:color w:val="auto"/>
        </w:rPr>
      </w:pPr>
    </w:p>
    <w:tbl>
      <w:tblPr>
        <w:tblLayout w:type="fixed"/>
        <w:tblInd w:w="310" w:type="dxa"/>
        <w:tblCellMar>
          <w:top w:w="0" w:type="dxa"/>
          <w:left w:w="0" w:type="dxa"/>
          <w:bottom w:w="0" w:type="dxa"/>
          <w:right w:w="0" w:type="dxa"/>
        </w:tblCellMar>
      </w:tblPr>
      <w:tr>
        <w:trPr>
          <w:trHeight w:val="324"/>
        </w:trPr>
        <w:tc>
          <w:tcPr>
            <w:tcW w:w="2580" w:type="dxa"/>
            <w:vAlign w:val="bottom"/>
            <w:tcBorders>
              <w:top w:val="single" w:sz="8" w:color="auto"/>
              <w:left w:val="single" w:sz="8" w:color="auto"/>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b w:val="1"/>
                <w:bCs w:val="1"/>
                <w:color w:val="auto"/>
              </w:rPr>
              <w:t>Name of Nominee for</w:t>
            </w:r>
          </w:p>
        </w:tc>
        <w:tc>
          <w:tcPr>
            <w:tcW w:w="80" w:type="dxa"/>
            <w:vAlign w:val="bottom"/>
            <w:tcBorders>
              <w:top w:val="single" w:sz="8" w:color="auto"/>
              <w:right w:val="single" w:sz="8" w:color="CCEEFF"/>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820" w:type="dxa"/>
            <w:vAlign w:val="bottom"/>
            <w:tcBorders>
              <w:top w:val="single" w:sz="8" w:color="auto"/>
            </w:tcBorders>
            <w:shd w:val="clear" w:color="auto" w:fill="CCEEFF"/>
          </w:tcPr>
          <w:p>
            <w:pPr>
              <w:spacing w:after="0" w:line="323" w:lineRule="exact"/>
              <w:rPr>
                <w:sz w:val="20"/>
                <w:szCs w:val="20"/>
                <w:color w:val="auto"/>
              </w:rPr>
            </w:pPr>
            <w:r>
              <w:rPr>
                <w:rFonts w:ascii="Times New Roman" w:cs="Times New Roman" w:eastAsia="Times New Roman" w:hAnsi="Times New Roman"/>
                <w:sz w:val="37"/>
                <w:szCs w:val="37"/>
                <w:b w:val="1"/>
                <w:bCs w:val="1"/>
                <w:color w:val="auto"/>
                <w:vertAlign w:val="superscript"/>
              </w:rPr>
              <w:t>​</w:t>
            </w:r>
            <w:r>
              <w:rPr>
                <w:rFonts w:ascii="Times New Roman" w:cs="Times New Roman" w:eastAsia="Times New Roman" w:hAnsi="Times New Roman"/>
                <w:sz w:val="19"/>
                <w:szCs w:val="19"/>
                <w:b w:val="1"/>
                <w:bCs w:val="1"/>
                <w:color w:val="auto"/>
              </w:rPr>
              <w:t xml:space="preserve">   For</w:t>
            </w:r>
          </w:p>
        </w:tc>
        <w:tc>
          <w:tcPr>
            <w:tcW w:w="680" w:type="dxa"/>
            <w:vAlign w:val="bottom"/>
            <w:tcBorders>
              <w:top w:val="single" w:sz="8" w:color="auto"/>
              <w:right w:val="single" w:sz="8" w:color="auto"/>
            </w:tcBorders>
            <w:shd w:val="clear" w:color="auto" w:fill="CCEEFF"/>
          </w:tcPr>
          <w:p>
            <w:pPr>
              <w:jc w:val="right"/>
              <w:ind w:right="301"/>
              <w:spacing w:after="0"/>
              <w:rPr>
                <w:sz w:val="20"/>
                <w:szCs w:val="20"/>
                <w:color w:val="auto"/>
              </w:rPr>
            </w:pPr>
            <w:r>
              <w:rPr>
                <w:rFonts w:ascii="Times New Roman" w:cs="Times New Roman" w:eastAsia="Times New Roman" w:hAnsi="Times New Roman"/>
                <w:sz w:val="20"/>
                <w:szCs w:val="20"/>
                <w:b w:val="1"/>
                <w:bCs w:val="1"/>
                <w:color w:val="auto"/>
              </w:rPr>
              <w:t>​​</w:t>
            </w:r>
          </w:p>
        </w:tc>
        <w:tc>
          <w:tcPr>
            <w:tcW w:w="860" w:type="dxa"/>
            <w:vAlign w:val="bottom"/>
            <w:tcBorders>
              <w:top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20"/>
                <w:szCs w:val="20"/>
                <w:b w:val="1"/>
                <w:bCs w:val="1"/>
                <w:color w:val="auto"/>
              </w:rPr>
              <w:t>Against</w:t>
            </w:r>
          </w:p>
        </w:tc>
        <w:tc>
          <w:tcPr>
            <w:tcW w:w="480" w:type="dxa"/>
            <w:vAlign w:val="bottom"/>
            <w:tcBorders>
              <w:top w:val="single" w:sz="8" w:color="auto"/>
              <w:right w:val="single" w:sz="8" w:color="CCEEFF"/>
            </w:tcBorders>
            <w:shd w:val="clear" w:color="auto" w:fill="CCEEFF"/>
          </w:tcPr>
          <w:p>
            <w:pPr>
              <w:jc w:val="right"/>
              <w:ind w:right="201"/>
              <w:spacing w:after="0"/>
              <w:rPr>
                <w:sz w:val="20"/>
                <w:szCs w:val="20"/>
                <w:color w:val="auto"/>
              </w:rPr>
            </w:pPr>
            <w:r>
              <w:rPr>
                <w:rFonts w:ascii="Times New Roman" w:cs="Times New Roman" w:eastAsia="Times New Roman" w:hAnsi="Times New Roman"/>
                <w:sz w:val="20"/>
                <w:szCs w:val="20"/>
                <w:b w:val="1"/>
                <w:bCs w:val="1"/>
                <w:color w:val="auto"/>
              </w:rPr>
              <w:t>​​</w:t>
            </w:r>
          </w:p>
        </w:tc>
        <w:tc>
          <w:tcPr>
            <w:tcW w:w="1280" w:type="dxa"/>
            <w:vAlign w:val="bottom"/>
            <w:tcBorders>
              <w:top w:val="single" w:sz="8" w:color="auto"/>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20"/>
                <w:szCs w:val="20"/>
                <w:b w:val="1"/>
                <w:bCs w:val="1"/>
                <w:color w:val="auto"/>
              </w:rPr>
              <w:t>Abstain  ​​</w:t>
            </w:r>
          </w:p>
        </w:tc>
        <w:tc>
          <w:tcPr>
            <w:tcW w:w="1660" w:type="dxa"/>
            <w:vAlign w:val="bottom"/>
            <w:tcBorders>
              <w:top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20"/>
                <w:szCs w:val="20"/>
                <w:b w:val="1"/>
                <w:bCs w:val="1"/>
                <w:color w:val="auto"/>
              </w:rPr>
              <w:t>Broker Non-</w:t>
            </w:r>
          </w:p>
        </w:tc>
        <w:tc>
          <w:tcPr>
            <w:tcW w:w="0" w:type="dxa"/>
            <w:vAlign w:val="bottom"/>
          </w:tcPr>
          <w:p>
            <w:pPr>
              <w:spacing w:after="0"/>
              <w:rPr>
                <w:sz w:val="1"/>
                <w:szCs w:val="1"/>
                <w:color w:val="auto"/>
              </w:rPr>
            </w:pPr>
          </w:p>
        </w:tc>
      </w:tr>
      <w:tr>
        <w:trPr>
          <w:trHeight w:val="203"/>
        </w:trPr>
        <w:tc>
          <w:tcPr>
            <w:tcW w:w="2580" w:type="dxa"/>
            <w:vAlign w:val="bottom"/>
            <w:tcBorders>
              <w:left w:val="single" w:sz="8" w:color="auto"/>
              <w:bottom w:val="single" w:sz="8" w:color="auto"/>
              <w:right w:val="single" w:sz="8" w:color="auto"/>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20"/>
                <w:szCs w:val="20"/>
                <w:b w:val="1"/>
                <w:bCs w:val="1"/>
                <w:color w:val="auto"/>
              </w:rPr>
              <w:t>Director</w:t>
            </w:r>
          </w:p>
        </w:tc>
        <w:tc>
          <w:tcPr>
            <w:tcW w:w="80" w:type="dxa"/>
            <w:vAlign w:val="bottom"/>
            <w:tcBorders>
              <w:bottom w:val="single" w:sz="8" w:color="auto"/>
              <w:right w:val="single" w:sz="8" w:color="CCEEFF"/>
            </w:tcBorders>
            <w:vMerge w:val="continue"/>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right w:val="single" w:sz="8" w:color="auto"/>
            </w:tcBorders>
            <w:shd w:val="clear" w:color="auto" w:fill="CCEEFF"/>
          </w:tcPr>
          <w:p>
            <w:pPr>
              <w:spacing w:after="0"/>
              <w:rPr>
                <w:sz w:val="17"/>
                <w:szCs w:val="17"/>
                <w:color w:val="auto"/>
              </w:rPr>
            </w:pPr>
          </w:p>
        </w:tc>
        <w:tc>
          <w:tcPr>
            <w:tcW w:w="860" w:type="dxa"/>
            <w:vAlign w:val="bottom"/>
            <w:tcBorders>
              <w:bottom w:val="single" w:sz="8" w:color="auto"/>
              <w:right w:val="single" w:sz="8" w:color="auto"/>
            </w:tcBorders>
            <w:shd w:val="clear" w:color="auto" w:fill="CCEEFF"/>
          </w:tcPr>
          <w:p>
            <w:pPr>
              <w:spacing w:after="0"/>
              <w:rPr>
                <w:sz w:val="17"/>
                <w:szCs w:val="17"/>
                <w:color w:val="auto"/>
              </w:rPr>
            </w:pPr>
          </w:p>
        </w:tc>
        <w:tc>
          <w:tcPr>
            <w:tcW w:w="480" w:type="dxa"/>
            <w:vAlign w:val="bottom"/>
            <w:tcBorders>
              <w:bottom w:val="single" w:sz="8" w:color="auto"/>
              <w:right w:val="single" w:sz="8" w:color="CCEEFF"/>
            </w:tcBorders>
            <w:shd w:val="clear" w:color="auto" w:fill="CCEEFF"/>
          </w:tcPr>
          <w:p>
            <w:pPr>
              <w:spacing w:after="0"/>
              <w:rPr>
                <w:sz w:val="17"/>
                <w:szCs w:val="17"/>
                <w:color w:val="auto"/>
              </w:rPr>
            </w:pPr>
          </w:p>
        </w:tc>
        <w:tc>
          <w:tcPr>
            <w:tcW w:w="1280" w:type="dxa"/>
            <w:vAlign w:val="bottom"/>
            <w:tcBorders>
              <w:bottom w:val="single" w:sz="8" w:color="auto"/>
              <w:right w:val="single" w:sz="8" w:color="auto"/>
            </w:tcBorders>
            <w:shd w:val="clear" w:color="auto" w:fill="CCEEFF"/>
          </w:tcPr>
          <w:p>
            <w:pPr>
              <w:spacing w:after="0"/>
              <w:rPr>
                <w:sz w:val="17"/>
                <w:szCs w:val="17"/>
                <w:color w:val="auto"/>
              </w:rPr>
            </w:pPr>
          </w:p>
        </w:tc>
        <w:tc>
          <w:tcPr>
            <w:tcW w:w="1660" w:type="dxa"/>
            <w:vAlign w:val="bottom"/>
            <w:tcBorders>
              <w:bottom w:val="single" w:sz="8" w:color="auto"/>
              <w:right w:val="single" w:sz="8" w:color="auto"/>
            </w:tcBorders>
            <w:shd w:val="clear" w:color="auto" w:fill="CCEEFF"/>
          </w:tcPr>
          <w:p>
            <w:pPr>
              <w:ind w:left="300"/>
              <w:spacing w:after="0" w:line="203" w:lineRule="exact"/>
              <w:rPr>
                <w:sz w:val="20"/>
                <w:szCs w:val="20"/>
                <w:color w:val="auto"/>
              </w:rPr>
            </w:pPr>
            <w:r>
              <w:rPr>
                <w:rFonts w:ascii="Times New Roman" w:cs="Times New Roman" w:eastAsia="Times New Roman" w:hAnsi="Times New Roman"/>
                <w:sz w:val="20"/>
                <w:szCs w:val="20"/>
                <w:b w:val="1"/>
                <w:bCs w:val="1"/>
                <w:color w:val="auto"/>
              </w:rPr>
              <w:t>Votes</w:t>
            </w:r>
          </w:p>
        </w:tc>
        <w:tc>
          <w:tcPr>
            <w:tcW w:w="0" w:type="dxa"/>
            <w:vAlign w:val="bottom"/>
          </w:tcPr>
          <w:p>
            <w:pPr>
              <w:spacing w:after="0"/>
              <w:rPr>
                <w:sz w:val="1"/>
                <w:szCs w:val="1"/>
                <w:color w:val="auto"/>
              </w:rPr>
            </w:pPr>
          </w:p>
        </w:tc>
      </w:tr>
      <w:tr>
        <w:trPr>
          <w:trHeight w:val="304"/>
        </w:trPr>
        <w:tc>
          <w:tcPr>
            <w:tcW w:w="400" w:type="dxa"/>
            <w:vAlign w:val="bottom"/>
            <w:tcBorders>
              <w:left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5A</w:t>
            </w:r>
          </w:p>
        </w:tc>
        <w:tc>
          <w:tcPr>
            <w:tcW w:w="2180" w:type="dxa"/>
            <w:vAlign w:val="bottom"/>
          </w:tcPr>
          <w:p>
            <w:pPr>
              <w:ind w:left="80"/>
              <w:spacing w:after="0" w:line="304" w:lineRule="exact"/>
              <w:rPr>
                <w:sz w:val="20"/>
                <w:szCs w:val="20"/>
                <w:color w:val="auto"/>
              </w:rPr>
            </w:pPr>
            <w:r>
              <w:rPr>
                <w:rFonts w:ascii="Times New Roman" w:cs="Times New Roman" w:eastAsia="Times New Roman" w:hAnsi="Times New Roman"/>
                <w:sz w:val="35"/>
                <w:szCs w:val="35"/>
                <w:b w:val="1"/>
                <w:bCs w:val="1"/>
                <w:color w:val="auto"/>
                <w:vertAlign w:val="superscript"/>
              </w:rPr>
              <w:t>​</w:t>
            </w:r>
            <w:r>
              <w:rPr>
                <w:rFonts w:ascii="Times New Roman" w:cs="Times New Roman" w:eastAsia="Times New Roman" w:hAnsi="Times New Roman"/>
                <w:sz w:val="18"/>
                <w:szCs w:val="18"/>
                <w:color w:val="auto"/>
              </w:rPr>
              <w:t>Keelan I. Adamson</w:t>
            </w:r>
          </w:p>
        </w:tc>
        <w:tc>
          <w:tcPr>
            <w:tcW w:w="80" w:type="dxa"/>
            <w:vAlign w:val="bottom"/>
            <w:tcBorders>
              <w:right w:val="single" w:sz="8" w:color="auto"/>
            </w:tcBorders>
          </w:tcPr>
          <w:p>
            <w:pPr>
              <w:spacing w:after="0"/>
              <w:rPr>
                <w:sz w:val="24"/>
                <w:szCs w:val="24"/>
                <w:color w:val="auto"/>
              </w:rPr>
            </w:pPr>
          </w:p>
        </w:tc>
        <w:tc>
          <w:tcPr>
            <w:tcW w:w="1500" w:type="dxa"/>
            <w:vAlign w:val="bottom"/>
            <w:tcBorders>
              <w:right w:val="single" w:sz="8" w:color="auto"/>
            </w:tcBorders>
            <w:gridSpan w:val="2"/>
          </w:tcPr>
          <w:p>
            <w:pPr>
              <w:jc w:val="right"/>
              <w:ind w:right="161"/>
              <w:spacing w:after="0"/>
              <w:rPr>
                <w:sz w:val="20"/>
                <w:szCs w:val="20"/>
                <w:color w:val="auto"/>
              </w:rPr>
            </w:pPr>
            <w:r>
              <w:rPr>
                <w:rFonts w:ascii="Times New Roman" w:cs="Times New Roman" w:eastAsia="Times New Roman" w:hAnsi="Times New Roman"/>
                <w:sz w:val="20"/>
                <w:szCs w:val="20"/>
                <w:color w:val="auto"/>
              </w:rPr>
              <w:t>610,939,692</w:t>
            </w:r>
          </w:p>
        </w:tc>
        <w:tc>
          <w:tcPr>
            <w:tcW w:w="1340" w:type="dxa"/>
            <w:vAlign w:val="bottom"/>
            <w:tcBorders>
              <w:right w:val="single" w:sz="8" w:color="auto"/>
            </w:tcBorders>
            <w:gridSpan w:val="2"/>
          </w:tcPr>
          <w:p>
            <w:pPr>
              <w:jc w:val="right"/>
              <w:ind w:right="141"/>
              <w:spacing w:after="0"/>
              <w:rPr>
                <w:sz w:val="20"/>
                <w:szCs w:val="20"/>
                <w:color w:val="auto"/>
              </w:rPr>
            </w:pPr>
            <w:r>
              <w:rPr>
                <w:rFonts w:ascii="Times New Roman" w:cs="Times New Roman" w:eastAsia="Times New Roman" w:hAnsi="Times New Roman"/>
                <w:sz w:val="20"/>
                <w:szCs w:val="20"/>
                <w:color w:val="auto"/>
              </w:rPr>
              <w:t>16,971,385</w:t>
            </w: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1,063,510</w:t>
            </w:r>
          </w:p>
        </w:tc>
        <w:tc>
          <w:tcPr>
            <w:tcW w:w="166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20"/>
                <w:szCs w:val="20"/>
                <w:color w:val="auto"/>
              </w:rPr>
              <w:t>126,284,743</w:t>
            </w:r>
          </w:p>
        </w:tc>
        <w:tc>
          <w:tcPr>
            <w:tcW w:w="0" w:type="dxa"/>
            <w:vAlign w:val="bottom"/>
          </w:tcPr>
          <w:p>
            <w:pPr>
              <w:spacing w:after="0"/>
              <w:rPr>
                <w:sz w:val="1"/>
                <w:szCs w:val="1"/>
                <w:color w:val="auto"/>
              </w:rPr>
            </w:pPr>
          </w:p>
        </w:tc>
      </w:tr>
      <w:tr>
        <w:trPr>
          <w:trHeight w:val="203"/>
        </w:trPr>
        <w:tc>
          <w:tcPr>
            <w:tcW w:w="400" w:type="dxa"/>
            <w:vAlign w:val="bottom"/>
            <w:tcBorders>
              <w:left w:val="single" w:sz="8" w:color="auto"/>
              <w:bottom w:val="single" w:sz="8" w:color="auto"/>
              <w:right w:val="single" w:sz="8" w:color="auto"/>
            </w:tcBorders>
          </w:tcPr>
          <w:p>
            <w:pPr>
              <w:spacing w:after="0"/>
              <w:rPr>
                <w:sz w:val="17"/>
                <w:szCs w:val="17"/>
                <w:color w:val="auto"/>
              </w:rPr>
            </w:pPr>
          </w:p>
        </w:tc>
        <w:tc>
          <w:tcPr>
            <w:tcW w:w="2180" w:type="dxa"/>
            <w:vAlign w:val="bottom"/>
            <w:tcBorders>
              <w:bottom w:val="single" w:sz="8" w:color="auto"/>
            </w:tcBorders>
          </w:tcPr>
          <w:p>
            <w:pPr>
              <w:ind w:left="20"/>
              <w:spacing w:after="0" w:line="203" w:lineRule="exact"/>
              <w:rPr>
                <w:sz w:val="20"/>
                <w:szCs w:val="20"/>
                <w:color w:val="auto"/>
              </w:rPr>
            </w:pPr>
            <w:r>
              <w:rPr>
                <w:rFonts w:ascii="Times New Roman" w:cs="Times New Roman" w:eastAsia="Times New Roman" w:hAnsi="Times New Roman"/>
                <w:sz w:val="20"/>
                <w:szCs w:val="20"/>
                <w:b w:val="1"/>
                <w:bCs w:val="1"/>
                <w:color w:val="auto"/>
              </w:rPr>
              <w:t>​</w:t>
            </w:r>
          </w:p>
        </w:tc>
        <w:tc>
          <w:tcPr>
            <w:tcW w:w="80" w:type="dxa"/>
            <w:vAlign w:val="bottom"/>
            <w:tcBorders>
              <w:bottom w:val="single" w:sz="8" w:color="auto"/>
              <w:right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68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480" w:type="dxa"/>
            <w:vAlign w:val="bottom"/>
            <w:tcBorders>
              <w:bottom w:val="single" w:sz="8" w:color="auto"/>
              <w:right w:val="single" w:sz="8" w:color="auto"/>
            </w:tcBorders>
          </w:tcPr>
          <w:p>
            <w:pPr>
              <w:spacing w:after="0"/>
              <w:rPr>
                <w:sz w:val="17"/>
                <w:szCs w:val="17"/>
                <w:color w:val="auto"/>
              </w:rPr>
            </w:pPr>
          </w:p>
        </w:tc>
        <w:tc>
          <w:tcPr>
            <w:tcW w:w="1280" w:type="dxa"/>
            <w:vAlign w:val="bottom"/>
            <w:tcBorders>
              <w:bottom w:val="single" w:sz="8" w:color="auto"/>
              <w:right w:val="single" w:sz="8" w:color="auto"/>
            </w:tcBorders>
          </w:tcPr>
          <w:p>
            <w:pPr>
              <w:spacing w:after="0"/>
              <w:rPr>
                <w:sz w:val="17"/>
                <w:szCs w:val="17"/>
                <w:color w:val="auto"/>
              </w:rPr>
            </w:pPr>
          </w:p>
        </w:tc>
        <w:tc>
          <w:tcPr>
            <w:tcW w:w="16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82"/>
        </w:trPr>
        <w:tc>
          <w:tcPr>
            <w:tcW w:w="400" w:type="dxa"/>
            <w:vAlign w:val="bottom"/>
            <w:tcBorders>
              <w:left w:val="single" w:sz="8" w:color="auto"/>
              <w:bottom w:val="single" w:sz="8" w:color="CCEEFF"/>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20"/>
                <w:szCs w:val="20"/>
                <w:color w:val="auto"/>
              </w:rPr>
              <w:t>5B</w:t>
            </w:r>
          </w:p>
        </w:tc>
        <w:tc>
          <w:tcPr>
            <w:tcW w:w="2180" w:type="dxa"/>
            <w:vAlign w:val="bottom"/>
            <w:tcBorders>
              <w:bottom w:val="single" w:sz="8" w:color="CCEEFF"/>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Glyn A. Barker</w:t>
            </w:r>
          </w:p>
        </w:tc>
        <w:tc>
          <w:tcPr>
            <w:tcW w:w="80" w:type="dxa"/>
            <w:vAlign w:val="bottom"/>
            <w:tcBorders>
              <w:bottom w:val="single" w:sz="8" w:color="CCEEFF"/>
              <w:right w:val="single" w:sz="8" w:color="auto"/>
            </w:tcBorders>
            <w:shd w:val="clear" w:color="auto" w:fill="CCEEFF"/>
          </w:tcPr>
          <w:p>
            <w:pPr>
              <w:spacing w:after="0"/>
              <w:rPr>
                <w:sz w:val="24"/>
                <w:szCs w:val="24"/>
                <w:color w:val="auto"/>
              </w:rPr>
            </w:pPr>
          </w:p>
        </w:tc>
        <w:tc>
          <w:tcPr>
            <w:tcW w:w="1500" w:type="dxa"/>
            <w:vAlign w:val="bottom"/>
            <w:tcBorders>
              <w:bottom w:val="single" w:sz="8" w:color="CCEEFF"/>
              <w:right w:val="single" w:sz="8" w:color="auto"/>
            </w:tcBorders>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20"/>
                <w:szCs w:val="20"/>
                <w:color w:val="auto"/>
              </w:rPr>
              <w:t>605,583,920</w:t>
            </w:r>
          </w:p>
        </w:tc>
        <w:tc>
          <w:tcPr>
            <w:tcW w:w="1340" w:type="dxa"/>
            <w:vAlign w:val="bottom"/>
            <w:tcBorders>
              <w:bottom w:val="single" w:sz="8" w:color="CCEEFF"/>
              <w:right w:val="single" w:sz="8" w:color="auto"/>
            </w:tcBorders>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22,325,035</w:t>
            </w:r>
          </w:p>
        </w:tc>
        <w:tc>
          <w:tcPr>
            <w:tcW w:w="1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7"/>
              </w:rPr>
              <w:t>1,065,632</w:t>
            </w:r>
          </w:p>
        </w:tc>
        <w:tc>
          <w:tcPr>
            <w:tcW w:w="1660" w:type="dxa"/>
            <w:vAlign w:val="bottom"/>
            <w:tcBorders>
              <w:bottom w:val="single" w:sz="8" w:color="CCEEFF"/>
              <w:right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20"/>
                <w:szCs w:val="20"/>
                <w:color w:val="auto"/>
              </w:rPr>
              <w:t>126,284,743</w:t>
            </w:r>
          </w:p>
        </w:tc>
        <w:tc>
          <w:tcPr>
            <w:tcW w:w="0" w:type="dxa"/>
            <w:vAlign w:val="bottom"/>
          </w:tcPr>
          <w:p>
            <w:pPr>
              <w:spacing w:after="0"/>
              <w:rPr>
                <w:sz w:val="1"/>
                <w:szCs w:val="1"/>
                <w:color w:val="auto"/>
              </w:rPr>
            </w:pPr>
          </w:p>
        </w:tc>
      </w:tr>
      <w:tr>
        <w:trPr>
          <w:trHeight w:val="256"/>
        </w:trPr>
        <w:tc>
          <w:tcPr>
            <w:tcW w:w="400" w:type="dxa"/>
            <w:vAlign w:val="bottom"/>
            <w:tcBorders>
              <w:top w:val="single" w:sz="8" w:color="auto"/>
              <w:left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5C</w:t>
            </w:r>
          </w:p>
        </w:tc>
        <w:tc>
          <w:tcPr>
            <w:tcW w:w="218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20"/>
                <w:szCs w:val="20"/>
                <w:color w:val="auto"/>
              </w:rPr>
              <w:t>Vanessa C.L. Chang</w:t>
            </w:r>
          </w:p>
        </w:tc>
        <w:tc>
          <w:tcPr>
            <w:tcW w:w="80" w:type="dxa"/>
            <w:vAlign w:val="bottom"/>
            <w:tcBorders>
              <w:top w:val="single" w:sz="8" w:color="auto"/>
              <w:right w:val="single" w:sz="8" w:color="auto"/>
            </w:tcBorders>
          </w:tcPr>
          <w:p>
            <w:pPr>
              <w:spacing w:after="0"/>
              <w:rPr>
                <w:sz w:val="22"/>
                <w:szCs w:val="22"/>
                <w:color w:val="auto"/>
              </w:rPr>
            </w:pPr>
          </w:p>
        </w:tc>
        <w:tc>
          <w:tcPr>
            <w:tcW w:w="1500" w:type="dxa"/>
            <w:vAlign w:val="bottom"/>
            <w:tcBorders>
              <w:top w:val="single" w:sz="8" w:color="auto"/>
              <w:right w:val="single" w:sz="8" w:color="auto"/>
            </w:tcBorders>
            <w:gridSpan w:val="2"/>
          </w:tcPr>
          <w:p>
            <w:pPr>
              <w:jc w:val="right"/>
              <w:ind w:right="161"/>
              <w:spacing w:after="0"/>
              <w:rPr>
                <w:sz w:val="20"/>
                <w:szCs w:val="20"/>
                <w:color w:val="auto"/>
              </w:rPr>
            </w:pPr>
            <w:r>
              <w:rPr>
                <w:rFonts w:ascii="Times New Roman" w:cs="Times New Roman" w:eastAsia="Times New Roman" w:hAnsi="Times New Roman"/>
                <w:sz w:val="20"/>
                <w:szCs w:val="20"/>
                <w:color w:val="auto"/>
              </w:rPr>
              <w:t>606,554,128</w:t>
            </w:r>
          </w:p>
        </w:tc>
        <w:tc>
          <w:tcPr>
            <w:tcW w:w="1340" w:type="dxa"/>
            <w:vAlign w:val="bottom"/>
            <w:tcBorders>
              <w:top w:val="single" w:sz="8" w:color="auto"/>
              <w:right w:val="single" w:sz="8" w:color="auto"/>
            </w:tcBorders>
            <w:gridSpan w:val="2"/>
          </w:tcPr>
          <w:p>
            <w:pPr>
              <w:jc w:val="right"/>
              <w:ind w:right="141"/>
              <w:spacing w:after="0"/>
              <w:rPr>
                <w:sz w:val="20"/>
                <w:szCs w:val="20"/>
                <w:color w:val="auto"/>
              </w:rPr>
            </w:pPr>
            <w:r>
              <w:rPr>
                <w:rFonts w:ascii="Times New Roman" w:cs="Times New Roman" w:eastAsia="Times New Roman" w:hAnsi="Times New Roman"/>
                <w:sz w:val="20"/>
                <w:szCs w:val="20"/>
                <w:color w:val="auto"/>
              </w:rPr>
              <w:t>21,363,480</w:t>
            </w:r>
          </w:p>
        </w:tc>
        <w:tc>
          <w:tcPr>
            <w:tcW w:w="12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1,056,979</w:t>
            </w:r>
          </w:p>
        </w:tc>
        <w:tc>
          <w:tcPr>
            <w:tcW w:w="1660" w:type="dxa"/>
            <w:vAlign w:val="bottom"/>
            <w:tcBorders>
              <w:top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20"/>
                <w:szCs w:val="20"/>
                <w:color w:val="auto"/>
              </w:rPr>
              <w:t>126,284,743</w:t>
            </w:r>
          </w:p>
        </w:tc>
        <w:tc>
          <w:tcPr>
            <w:tcW w:w="0" w:type="dxa"/>
            <w:vAlign w:val="bottom"/>
          </w:tcPr>
          <w:p>
            <w:pPr>
              <w:spacing w:after="0"/>
              <w:rPr>
                <w:sz w:val="1"/>
                <w:szCs w:val="1"/>
                <w:color w:val="auto"/>
              </w:rPr>
            </w:pPr>
          </w:p>
        </w:tc>
      </w:tr>
      <w:tr>
        <w:trPr>
          <w:trHeight w:val="21"/>
        </w:trPr>
        <w:tc>
          <w:tcPr>
            <w:tcW w:w="4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500" w:type="dxa"/>
            <w:vAlign w:val="bottom"/>
            <w:tcBorders>
              <w:bottom w:val="single" w:sz="8" w:color="auto"/>
              <w:right w:val="single" w:sz="8" w:color="auto"/>
            </w:tcBorders>
            <w:gridSpan w:val="2"/>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16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2"/>
        </w:trPr>
        <w:tc>
          <w:tcPr>
            <w:tcW w:w="400" w:type="dxa"/>
            <w:vAlign w:val="bottom"/>
            <w:tcBorders>
              <w:left w:val="single" w:sz="8" w:color="auto"/>
              <w:bottom w:val="single" w:sz="8" w:color="CCEEFF"/>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20"/>
                <w:szCs w:val="20"/>
                <w:color w:val="auto"/>
              </w:rPr>
              <w:t>5D</w:t>
            </w:r>
          </w:p>
        </w:tc>
        <w:tc>
          <w:tcPr>
            <w:tcW w:w="2180" w:type="dxa"/>
            <w:vAlign w:val="bottom"/>
            <w:tcBorders>
              <w:bottom w:val="single" w:sz="8" w:color="CCEEFF"/>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Frederico F. Curado</w:t>
            </w:r>
          </w:p>
        </w:tc>
        <w:tc>
          <w:tcPr>
            <w:tcW w:w="80" w:type="dxa"/>
            <w:vAlign w:val="bottom"/>
            <w:tcBorders>
              <w:bottom w:val="single" w:sz="8" w:color="CCEEFF"/>
              <w:right w:val="single" w:sz="8" w:color="auto"/>
            </w:tcBorders>
            <w:shd w:val="clear" w:color="auto" w:fill="CCEEFF"/>
          </w:tcPr>
          <w:p>
            <w:pPr>
              <w:spacing w:after="0"/>
              <w:rPr>
                <w:sz w:val="24"/>
                <w:szCs w:val="24"/>
                <w:color w:val="auto"/>
              </w:rPr>
            </w:pPr>
          </w:p>
        </w:tc>
        <w:tc>
          <w:tcPr>
            <w:tcW w:w="1500" w:type="dxa"/>
            <w:vAlign w:val="bottom"/>
            <w:tcBorders>
              <w:bottom w:val="single" w:sz="8" w:color="CCEEFF"/>
              <w:right w:val="single" w:sz="8" w:color="auto"/>
            </w:tcBorders>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20"/>
                <w:szCs w:val="20"/>
                <w:color w:val="auto"/>
              </w:rPr>
              <w:t>536,924,649</w:t>
            </w:r>
          </w:p>
        </w:tc>
        <w:tc>
          <w:tcPr>
            <w:tcW w:w="1340" w:type="dxa"/>
            <w:vAlign w:val="bottom"/>
            <w:tcBorders>
              <w:bottom w:val="single" w:sz="8" w:color="CCEEFF"/>
              <w:right w:val="single" w:sz="8" w:color="auto"/>
            </w:tcBorders>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90,952,788</w:t>
            </w:r>
          </w:p>
        </w:tc>
        <w:tc>
          <w:tcPr>
            <w:tcW w:w="1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7"/>
              </w:rPr>
              <w:t>1,097,150</w:t>
            </w:r>
          </w:p>
        </w:tc>
        <w:tc>
          <w:tcPr>
            <w:tcW w:w="1660" w:type="dxa"/>
            <w:vAlign w:val="bottom"/>
            <w:tcBorders>
              <w:bottom w:val="single" w:sz="8" w:color="CCEEFF"/>
              <w:right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20"/>
                <w:szCs w:val="20"/>
                <w:color w:val="auto"/>
              </w:rPr>
              <w:t>126,284,743</w:t>
            </w:r>
          </w:p>
        </w:tc>
        <w:tc>
          <w:tcPr>
            <w:tcW w:w="0" w:type="dxa"/>
            <w:vAlign w:val="bottom"/>
          </w:tcPr>
          <w:p>
            <w:pPr>
              <w:spacing w:after="0"/>
              <w:rPr>
                <w:sz w:val="1"/>
                <w:szCs w:val="1"/>
                <w:color w:val="auto"/>
              </w:rPr>
            </w:pPr>
          </w:p>
        </w:tc>
      </w:tr>
      <w:tr>
        <w:trPr>
          <w:trHeight w:val="256"/>
        </w:trPr>
        <w:tc>
          <w:tcPr>
            <w:tcW w:w="400" w:type="dxa"/>
            <w:vAlign w:val="bottom"/>
            <w:tcBorders>
              <w:top w:val="single" w:sz="8" w:color="auto"/>
              <w:left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5E</w:t>
            </w:r>
          </w:p>
        </w:tc>
        <w:tc>
          <w:tcPr>
            <w:tcW w:w="218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20"/>
                <w:szCs w:val="20"/>
                <w:color w:val="auto"/>
              </w:rPr>
              <w:t>Chadwick C. Deaton</w:t>
            </w:r>
          </w:p>
        </w:tc>
        <w:tc>
          <w:tcPr>
            <w:tcW w:w="80" w:type="dxa"/>
            <w:vAlign w:val="bottom"/>
            <w:tcBorders>
              <w:top w:val="single" w:sz="8" w:color="auto"/>
              <w:right w:val="single" w:sz="8" w:color="auto"/>
            </w:tcBorders>
          </w:tcPr>
          <w:p>
            <w:pPr>
              <w:spacing w:after="0"/>
              <w:rPr>
                <w:sz w:val="22"/>
                <w:szCs w:val="22"/>
                <w:color w:val="auto"/>
              </w:rPr>
            </w:pPr>
          </w:p>
        </w:tc>
        <w:tc>
          <w:tcPr>
            <w:tcW w:w="1500" w:type="dxa"/>
            <w:vAlign w:val="bottom"/>
            <w:tcBorders>
              <w:top w:val="single" w:sz="8" w:color="auto"/>
              <w:right w:val="single" w:sz="8" w:color="auto"/>
            </w:tcBorders>
            <w:gridSpan w:val="2"/>
          </w:tcPr>
          <w:p>
            <w:pPr>
              <w:jc w:val="right"/>
              <w:ind w:right="161"/>
              <w:spacing w:after="0"/>
              <w:rPr>
                <w:sz w:val="20"/>
                <w:szCs w:val="20"/>
                <w:color w:val="auto"/>
              </w:rPr>
            </w:pPr>
            <w:r>
              <w:rPr>
                <w:rFonts w:ascii="Times New Roman" w:cs="Times New Roman" w:eastAsia="Times New Roman" w:hAnsi="Times New Roman"/>
                <w:sz w:val="20"/>
                <w:szCs w:val="20"/>
                <w:color w:val="auto"/>
              </w:rPr>
              <w:t>607,198,359</w:t>
            </w:r>
          </w:p>
        </w:tc>
        <w:tc>
          <w:tcPr>
            <w:tcW w:w="1340" w:type="dxa"/>
            <w:vAlign w:val="bottom"/>
            <w:tcBorders>
              <w:top w:val="single" w:sz="8" w:color="auto"/>
              <w:right w:val="single" w:sz="8" w:color="auto"/>
            </w:tcBorders>
            <w:gridSpan w:val="2"/>
          </w:tcPr>
          <w:p>
            <w:pPr>
              <w:jc w:val="right"/>
              <w:ind w:right="141"/>
              <w:spacing w:after="0"/>
              <w:rPr>
                <w:sz w:val="20"/>
                <w:szCs w:val="20"/>
                <w:color w:val="auto"/>
              </w:rPr>
            </w:pPr>
            <w:r>
              <w:rPr>
                <w:rFonts w:ascii="Times New Roman" w:cs="Times New Roman" w:eastAsia="Times New Roman" w:hAnsi="Times New Roman"/>
                <w:sz w:val="20"/>
                <w:szCs w:val="20"/>
                <w:color w:val="auto"/>
              </w:rPr>
              <w:t>20,752,986</w:t>
            </w:r>
          </w:p>
        </w:tc>
        <w:tc>
          <w:tcPr>
            <w:tcW w:w="12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1,023,242</w:t>
            </w:r>
          </w:p>
        </w:tc>
        <w:tc>
          <w:tcPr>
            <w:tcW w:w="1660" w:type="dxa"/>
            <w:vAlign w:val="bottom"/>
            <w:tcBorders>
              <w:top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20"/>
                <w:szCs w:val="20"/>
                <w:color w:val="auto"/>
              </w:rPr>
              <w:t>126,284,743</w:t>
            </w:r>
          </w:p>
        </w:tc>
        <w:tc>
          <w:tcPr>
            <w:tcW w:w="0" w:type="dxa"/>
            <w:vAlign w:val="bottom"/>
          </w:tcPr>
          <w:p>
            <w:pPr>
              <w:spacing w:after="0"/>
              <w:rPr>
                <w:sz w:val="1"/>
                <w:szCs w:val="1"/>
                <w:color w:val="auto"/>
              </w:rPr>
            </w:pPr>
          </w:p>
        </w:tc>
      </w:tr>
      <w:tr>
        <w:trPr>
          <w:trHeight w:val="21"/>
        </w:trPr>
        <w:tc>
          <w:tcPr>
            <w:tcW w:w="4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500" w:type="dxa"/>
            <w:vAlign w:val="bottom"/>
            <w:tcBorders>
              <w:bottom w:val="single" w:sz="8" w:color="auto"/>
              <w:right w:val="single" w:sz="8" w:color="auto"/>
            </w:tcBorders>
            <w:gridSpan w:val="2"/>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16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7"/>
        </w:trPr>
        <w:tc>
          <w:tcPr>
            <w:tcW w:w="400" w:type="dxa"/>
            <w:vAlign w:val="bottom"/>
            <w:tcBorders>
              <w:left w:val="single" w:sz="8" w:color="auto"/>
              <w:right w:val="single" w:sz="8" w:color="auto"/>
            </w:tcBorders>
            <w:shd w:val="clear" w:color="auto" w:fill="CCEEFF"/>
          </w:tcPr>
          <w:p>
            <w:pPr>
              <w:spacing w:after="0" w:line="228" w:lineRule="exact"/>
              <w:rPr>
                <w:sz w:val="20"/>
                <w:szCs w:val="20"/>
                <w:color w:val="auto"/>
              </w:rPr>
            </w:pPr>
            <w:r>
              <w:rPr>
                <w:rFonts w:ascii="Times New Roman" w:cs="Times New Roman" w:eastAsia="Times New Roman" w:hAnsi="Times New Roman"/>
                <w:sz w:val="20"/>
                <w:szCs w:val="20"/>
                <w:color w:val="auto"/>
              </w:rPr>
              <w:t>5F</w:t>
            </w:r>
          </w:p>
        </w:tc>
        <w:tc>
          <w:tcPr>
            <w:tcW w:w="2180" w:type="dxa"/>
            <w:vAlign w:val="bottom"/>
            <w:tcBorders>
              <w:right w:val="single" w:sz="8" w:color="CCEEFF"/>
            </w:tcBorders>
            <w:shd w:val="clear" w:color="auto" w:fill="CCEEFF"/>
          </w:tcPr>
          <w:p>
            <w:pPr>
              <w:ind w:left="140"/>
              <w:spacing w:after="0" w:line="228" w:lineRule="exact"/>
              <w:rPr>
                <w:sz w:val="20"/>
                <w:szCs w:val="20"/>
                <w:color w:val="auto"/>
              </w:rPr>
            </w:pPr>
            <w:r>
              <w:rPr>
                <w:rFonts w:ascii="Times New Roman" w:cs="Times New Roman" w:eastAsia="Times New Roman" w:hAnsi="Times New Roman"/>
                <w:sz w:val="20"/>
                <w:szCs w:val="20"/>
                <w:color w:val="auto"/>
              </w:rPr>
              <w:t>Domenic J. “Nick”</w:t>
            </w:r>
          </w:p>
        </w:tc>
        <w:tc>
          <w:tcPr>
            <w:tcW w:w="80" w:type="dxa"/>
            <w:vAlign w:val="bottom"/>
            <w:tcBorders>
              <w:right w:val="single" w:sz="8" w:color="auto"/>
            </w:tcBorders>
            <w:shd w:val="clear" w:color="auto" w:fill="CCEEFF"/>
          </w:tcPr>
          <w:p>
            <w:pPr>
              <w:spacing w:after="0"/>
              <w:rPr>
                <w:sz w:val="19"/>
                <w:szCs w:val="19"/>
                <w:color w:val="auto"/>
              </w:rPr>
            </w:pPr>
          </w:p>
        </w:tc>
        <w:tc>
          <w:tcPr>
            <w:tcW w:w="1500" w:type="dxa"/>
            <w:vAlign w:val="bottom"/>
            <w:tcBorders>
              <w:right w:val="single" w:sz="8" w:color="auto"/>
            </w:tcBorders>
            <w:gridSpan w:val="2"/>
            <w:shd w:val="clear" w:color="auto" w:fill="CCEEFF"/>
          </w:tcPr>
          <w:p>
            <w:pPr>
              <w:jc w:val="right"/>
              <w:ind w:right="161"/>
              <w:spacing w:after="0" w:line="228" w:lineRule="exact"/>
              <w:rPr>
                <w:sz w:val="20"/>
                <w:szCs w:val="20"/>
                <w:color w:val="auto"/>
              </w:rPr>
            </w:pPr>
            <w:r>
              <w:rPr>
                <w:rFonts w:ascii="Times New Roman" w:cs="Times New Roman" w:eastAsia="Times New Roman" w:hAnsi="Times New Roman"/>
                <w:sz w:val="20"/>
                <w:szCs w:val="20"/>
                <w:color w:val="auto"/>
              </w:rPr>
              <w:t>593,908,354</w:t>
            </w:r>
          </w:p>
        </w:tc>
        <w:tc>
          <w:tcPr>
            <w:tcW w:w="1340" w:type="dxa"/>
            <w:vAlign w:val="bottom"/>
            <w:tcBorders>
              <w:right w:val="single" w:sz="8" w:color="auto"/>
            </w:tcBorders>
            <w:gridSpan w:val="2"/>
            <w:shd w:val="clear" w:color="auto" w:fill="CCEEFF"/>
          </w:tcPr>
          <w:p>
            <w:pPr>
              <w:jc w:val="right"/>
              <w:ind w:right="141"/>
              <w:spacing w:after="0" w:line="228" w:lineRule="exact"/>
              <w:rPr>
                <w:sz w:val="20"/>
                <w:szCs w:val="20"/>
                <w:color w:val="auto"/>
              </w:rPr>
            </w:pPr>
            <w:r>
              <w:rPr>
                <w:rFonts w:ascii="Times New Roman" w:cs="Times New Roman" w:eastAsia="Times New Roman" w:hAnsi="Times New Roman"/>
                <w:sz w:val="20"/>
                <w:szCs w:val="20"/>
                <w:color w:val="auto"/>
              </w:rPr>
              <w:t>34,037,097</w:t>
            </w:r>
          </w:p>
        </w:tc>
        <w:tc>
          <w:tcPr>
            <w:tcW w:w="1280" w:type="dxa"/>
            <w:vAlign w:val="bottom"/>
            <w:tcBorders>
              <w:right w:val="single" w:sz="8" w:color="auto"/>
            </w:tcBorders>
            <w:shd w:val="clear" w:color="auto" w:fill="CCEEFF"/>
          </w:tcPr>
          <w:p>
            <w:pPr>
              <w:jc w:val="center"/>
              <w:spacing w:after="0" w:line="228" w:lineRule="exact"/>
              <w:rPr>
                <w:sz w:val="20"/>
                <w:szCs w:val="20"/>
                <w:color w:val="auto"/>
              </w:rPr>
            </w:pPr>
            <w:r>
              <w:rPr>
                <w:rFonts w:ascii="Times New Roman" w:cs="Times New Roman" w:eastAsia="Times New Roman" w:hAnsi="Times New Roman"/>
                <w:sz w:val="20"/>
                <w:szCs w:val="20"/>
                <w:color w:val="auto"/>
                <w:w w:val="97"/>
              </w:rPr>
              <w:t>1,029,136</w:t>
            </w:r>
          </w:p>
        </w:tc>
        <w:tc>
          <w:tcPr>
            <w:tcW w:w="1660" w:type="dxa"/>
            <w:vAlign w:val="bottom"/>
            <w:tcBorders>
              <w:right w:val="single" w:sz="8" w:color="auto"/>
            </w:tcBorders>
            <w:shd w:val="clear" w:color="auto" w:fill="CCEEFF"/>
          </w:tcPr>
          <w:p>
            <w:pPr>
              <w:ind w:left="300"/>
              <w:spacing w:after="0" w:line="228" w:lineRule="exact"/>
              <w:rPr>
                <w:sz w:val="20"/>
                <w:szCs w:val="20"/>
                <w:color w:val="auto"/>
              </w:rPr>
            </w:pPr>
            <w:r>
              <w:rPr>
                <w:rFonts w:ascii="Times New Roman" w:cs="Times New Roman" w:eastAsia="Times New Roman" w:hAnsi="Times New Roman"/>
                <w:sz w:val="20"/>
                <w:szCs w:val="20"/>
                <w:color w:val="auto"/>
              </w:rPr>
              <w:t>126,284,743</w:t>
            </w:r>
          </w:p>
        </w:tc>
        <w:tc>
          <w:tcPr>
            <w:tcW w:w="0" w:type="dxa"/>
            <w:vAlign w:val="bottom"/>
          </w:tcPr>
          <w:p>
            <w:pPr>
              <w:spacing w:after="0"/>
              <w:rPr>
                <w:sz w:val="1"/>
                <w:szCs w:val="1"/>
                <w:color w:val="auto"/>
              </w:rPr>
            </w:pPr>
          </w:p>
        </w:tc>
      </w:tr>
      <w:tr>
        <w:trPr>
          <w:trHeight w:val="284"/>
        </w:trPr>
        <w:tc>
          <w:tcPr>
            <w:tcW w:w="400" w:type="dxa"/>
            <w:vAlign w:val="bottom"/>
            <w:tcBorders>
              <w:left w:val="single" w:sz="8" w:color="auto"/>
              <w:bottom w:val="single" w:sz="8" w:color="CCEEFF"/>
              <w:right w:val="single" w:sz="8" w:color="auto"/>
            </w:tcBorders>
            <w:shd w:val="clear" w:color="auto" w:fill="CCEEFF"/>
          </w:tcPr>
          <w:p>
            <w:pPr>
              <w:spacing w:after="0"/>
              <w:rPr>
                <w:sz w:val="24"/>
                <w:szCs w:val="24"/>
                <w:color w:val="auto"/>
              </w:rPr>
            </w:pPr>
          </w:p>
        </w:tc>
        <w:tc>
          <w:tcPr>
            <w:tcW w:w="2180" w:type="dxa"/>
            <w:vAlign w:val="bottom"/>
            <w:tcBorders>
              <w:bottom w:val="single" w:sz="8" w:color="CCEEFF"/>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Dell’Osso, Jr.</w:t>
            </w:r>
          </w:p>
        </w:tc>
        <w:tc>
          <w:tcPr>
            <w:tcW w:w="80" w:type="dxa"/>
            <w:vAlign w:val="bottom"/>
            <w:tcBorders>
              <w:bottom w:val="single" w:sz="8" w:color="CCEEFF"/>
              <w:right w:val="single" w:sz="8" w:color="auto"/>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right w:val="single" w:sz="8" w:color="auto"/>
            </w:tcBorders>
            <w:shd w:val="clear" w:color="auto" w:fill="CCEEFF"/>
          </w:tcPr>
          <w:p>
            <w:pPr>
              <w:spacing w:after="0"/>
              <w:rPr>
                <w:sz w:val="24"/>
                <w:szCs w:val="24"/>
                <w:color w:val="auto"/>
              </w:rPr>
            </w:pPr>
          </w:p>
        </w:tc>
        <w:tc>
          <w:tcPr>
            <w:tcW w:w="860" w:type="dxa"/>
            <w:vAlign w:val="bottom"/>
            <w:tcBorders>
              <w:bottom w:val="single" w:sz="8" w:color="CCEEFF"/>
              <w:right w:val="single" w:sz="8" w:color="CCEEFF"/>
            </w:tcBorders>
            <w:shd w:val="clear" w:color="auto" w:fill="CCEEFF"/>
          </w:tcPr>
          <w:p>
            <w:pPr>
              <w:spacing w:after="0"/>
              <w:rPr>
                <w:sz w:val="24"/>
                <w:szCs w:val="24"/>
                <w:color w:val="auto"/>
              </w:rPr>
            </w:pPr>
          </w:p>
        </w:tc>
        <w:tc>
          <w:tcPr>
            <w:tcW w:w="480" w:type="dxa"/>
            <w:vAlign w:val="bottom"/>
            <w:tcBorders>
              <w:bottom w:val="single" w:sz="8" w:color="CCEEFF"/>
              <w:right w:val="single" w:sz="8" w:color="auto"/>
            </w:tcBorders>
            <w:shd w:val="clear" w:color="auto" w:fill="CCEEFF"/>
          </w:tcPr>
          <w:p>
            <w:pPr>
              <w:spacing w:after="0"/>
              <w:rPr>
                <w:sz w:val="24"/>
                <w:szCs w:val="24"/>
                <w:color w:val="auto"/>
              </w:rPr>
            </w:pPr>
          </w:p>
        </w:tc>
        <w:tc>
          <w:tcPr>
            <w:tcW w:w="1280" w:type="dxa"/>
            <w:vAlign w:val="bottom"/>
            <w:tcBorders>
              <w:bottom w:val="single" w:sz="8" w:color="CCEEFF"/>
              <w:right w:val="single" w:sz="8" w:color="auto"/>
            </w:tcBorders>
            <w:shd w:val="clear" w:color="auto" w:fill="CCEEFF"/>
          </w:tcPr>
          <w:p>
            <w:pPr>
              <w:spacing w:after="0"/>
              <w:rPr>
                <w:sz w:val="24"/>
                <w:szCs w:val="24"/>
                <w:color w:val="auto"/>
              </w:rPr>
            </w:pPr>
          </w:p>
        </w:tc>
        <w:tc>
          <w:tcPr>
            <w:tcW w:w="1660" w:type="dxa"/>
            <w:vAlign w:val="bottom"/>
            <w:tcBorders>
              <w:bottom w:val="single" w:sz="8" w:color="CCEEFF"/>
              <w:right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00" w:type="dxa"/>
            <w:vAlign w:val="bottom"/>
            <w:tcBorders>
              <w:top w:val="single" w:sz="8" w:color="auto"/>
              <w:left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5G</w:t>
            </w:r>
          </w:p>
        </w:tc>
        <w:tc>
          <w:tcPr>
            <w:tcW w:w="218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20"/>
                <w:szCs w:val="20"/>
                <w:color w:val="auto"/>
              </w:rPr>
              <w:t>Vincent J. Intrieri</w:t>
            </w:r>
          </w:p>
        </w:tc>
        <w:tc>
          <w:tcPr>
            <w:tcW w:w="80" w:type="dxa"/>
            <w:vAlign w:val="bottom"/>
            <w:tcBorders>
              <w:top w:val="single" w:sz="8" w:color="auto"/>
              <w:right w:val="single" w:sz="8" w:color="auto"/>
            </w:tcBorders>
          </w:tcPr>
          <w:p>
            <w:pPr>
              <w:spacing w:after="0"/>
              <w:rPr>
                <w:sz w:val="22"/>
                <w:szCs w:val="22"/>
                <w:color w:val="auto"/>
              </w:rPr>
            </w:pPr>
          </w:p>
        </w:tc>
        <w:tc>
          <w:tcPr>
            <w:tcW w:w="1500" w:type="dxa"/>
            <w:vAlign w:val="bottom"/>
            <w:tcBorders>
              <w:top w:val="single" w:sz="8" w:color="auto"/>
              <w:right w:val="single" w:sz="8" w:color="auto"/>
            </w:tcBorders>
            <w:gridSpan w:val="2"/>
          </w:tcPr>
          <w:p>
            <w:pPr>
              <w:jc w:val="right"/>
              <w:ind w:right="161"/>
              <w:spacing w:after="0"/>
              <w:rPr>
                <w:sz w:val="20"/>
                <w:szCs w:val="20"/>
                <w:color w:val="auto"/>
              </w:rPr>
            </w:pPr>
            <w:r>
              <w:rPr>
                <w:rFonts w:ascii="Times New Roman" w:cs="Times New Roman" w:eastAsia="Times New Roman" w:hAnsi="Times New Roman"/>
                <w:sz w:val="20"/>
                <w:szCs w:val="20"/>
                <w:color w:val="auto"/>
              </w:rPr>
              <w:t>609,117,881</w:t>
            </w:r>
          </w:p>
        </w:tc>
        <w:tc>
          <w:tcPr>
            <w:tcW w:w="1340" w:type="dxa"/>
            <w:vAlign w:val="bottom"/>
            <w:tcBorders>
              <w:top w:val="single" w:sz="8" w:color="auto"/>
              <w:right w:val="single" w:sz="8" w:color="auto"/>
            </w:tcBorders>
            <w:gridSpan w:val="2"/>
          </w:tcPr>
          <w:p>
            <w:pPr>
              <w:jc w:val="right"/>
              <w:ind w:right="141"/>
              <w:spacing w:after="0"/>
              <w:rPr>
                <w:sz w:val="20"/>
                <w:szCs w:val="20"/>
                <w:color w:val="auto"/>
              </w:rPr>
            </w:pPr>
            <w:r>
              <w:rPr>
                <w:rFonts w:ascii="Times New Roman" w:cs="Times New Roman" w:eastAsia="Times New Roman" w:hAnsi="Times New Roman"/>
                <w:sz w:val="20"/>
                <w:szCs w:val="20"/>
                <w:color w:val="auto"/>
              </w:rPr>
              <w:t>18,811,363</w:t>
            </w:r>
          </w:p>
        </w:tc>
        <w:tc>
          <w:tcPr>
            <w:tcW w:w="12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1,045,343</w:t>
            </w:r>
          </w:p>
        </w:tc>
        <w:tc>
          <w:tcPr>
            <w:tcW w:w="1660" w:type="dxa"/>
            <w:vAlign w:val="bottom"/>
            <w:tcBorders>
              <w:top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20"/>
                <w:szCs w:val="20"/>
                <w:color w:val="auto"/>
              </w:rPr>
              <w:t>126,284,743</w:t>
            </w:r>
          </w:p>
        </w:tc>
        <w:tc>
          <w:tcPr>
            <w:tcW w:w="0" w:type="dxa"/>
            <w:vAlign w:val="bottom"/>
          </w:tcPr>
          <w:p>
            <w:pPr>
              <w:spacing w:after="0"/>
              <w:rPr>
                <w:sz w:val="1"/>
                <w:szCs w:val="1"/>
                <w:color w:val="auto"/>
              </w:rPr>
            </w:pPr>
          </w:p>
        </w:tc>
      </w:tr>
      <w:tr>
        <w:trPr>
          <w:trHeight w:val="21"/>
        </w:trPr>
        <w:tc>
          <w:tcPr>
            <w:tcW w:w="4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500" w:type="dxa"/>
            <w:vAlign w:val="bottom"/>
            <w:tcBorders>
              <w:bottom w:val="single" w:sz="8" w:color="auto"/>
              <w:right w:val="single" w:sz="8" w:color="auto"/>
            </w:tcBorders>
            <w:gridSpan w:val="2"/>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16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2"/>
        </w:trPr>
        <w:tc>
          <w:tcPr>
            <w:tcW w:w="400" w:type="dxa"/>
            <w:vAlign w:val="bottom"/>
            <w:tcBorders>
              <w:left w:val="single" w:sz="8" w:color="auto"/>
              <w:bottom w:val="single" w:sz="8" w:color="CCEEFF"/>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20"/>
                <w:szCs w:val="20"/>
                <w:color w:val="auto"/>
              </w:rPr>
              <w:t>5H</w:t>
            </w:r>
          </w:p>
        </w:tc>
        <w:tc>
          <w:tcPr>
            <w:tcW w:w="2180" w:type="dxa"/>
            <w:vAlign w:val="bottom"/>
            <w:tcBorders>
              <w:bottom w:val="single" w:sz="8" w:color="CCEEFF"/>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William F. “Bill” Lacey</w:t>
            </w:r>
          </w:p>
        </w:tc>
        <w:tc>
          <w:tcPr>
            <w:tcW w:w="80" w:type="dxa"/>
            <w:vAlign w:val="bottom"/>
            <w:tcBorders>
              <w:bottom w:val="single" w:sz="8" w:color="CCEEFF"/>
              <w:right w:val="single" w:sz="8" w:color="auto"/>
            </w:tcBorders>
            <w:shd w:val="clear" w:color="auto" w:fill="CCEEFF"/>
          </w:tcPr>
          <w:p>
            <w:pPr>
              <w:spacing w:after="0"/>
              <w:rPr>
                <w:sz w:val="24"/>
                <w:szCs w:val="24"/>
                <w:color w:val="auto"/>
              </w:rPr>
            </w:pPr>
          </w:p>
        </w:tc>
        <w:tc>
          <w:tcPr>
            <w:tcW w:w="1500" w:type="dxa"/>
            <w:vAlign w:val="bottom"/>
            <w:tcBorders>
              <w:bottom w:val="single" w:sz="8" w:color="CCEEFF"/>
              <w:right w:val="single" w:sz="8" w:color="auto"/>
            </w:tcBorders>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20"/>
                <w:szCs w:val="20"/>
                <w:color w:val="auto"/>
              </w:rPr>
              <w:t>612,006,783</w:t>
            </w:r>
          </w:p>
        </w:tc>
        <w:tc>
          <w:tcPr>
            <w:tcW w:w="1340" w:type="dxa"/>
            <w:vAlign w:val="bottom"/>
            <w:tcBorders>
              <w:bottom w:val="single" w:sz="8" w:color="CCEEFF"/>
              <w:right w:val="single" w:sz="8" w:color="auto"/>
            </w:tcBorders>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16,028,196</w:t>
            </w:r>
          </w:p>
        </w:tc>
        <w:tc>
          <w:tcPr>
            <w:tcW w:w="1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8"/>
              </w:rPr>
              <w:t>939,608</w:t>
            </w:r>
          </w:p>
        </w:tc>
        <w:tc>
          <w:tcPr>
            <w:tcW w:w="1660" w:type="dxa"/>
            <w:vAlign w:val="bottom"/>
            <w:tcBorders>
              <w:bottom w:val="single" w:sz="8" w:color="CCEEFF"/>
              <w:right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20"/>
                <w:szCs w:val="20"/>
                <w:color w:val="auto"/>
              </w:rPr>
              <w:t>126,284,743</w:t>
            </w:r>
          </w:p>
        </w:tc>
        <w:tc>
          <w:tcPr>
            <w:tcW w:w="0" w:type="dxa"/>
            <w:vAlign w:val="bottom"/>
          </w:tcPr>
          <w:p>
            <w:pPr>
              <w:spacing w:after="0"/>
              <w:rPr>
                <w:sz w:val="1"/>
                <w:szCs w:val="1"/>
                <w:color w:val="auto"/>
              </w:rPr>
            </w:pPr>
          </w:p>
        </w:tc>
      </w:tr>
      <w:tr>
        <w:trPr>
          <w:trHeight w:val="256"/>
        </w:trPr>
        <w:tc>
          <w:tcPr>
            <w:tcW w:w="400" w:type="dxa"/>
            <w:vAlign w:val="bottom"/>
            <w:tcBorders>
              <w:top w:val="single" w:sz="8" w:color="auto"/>
              <w:left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5I</w:t>
            </w:r>
          </w:p>
        </w:tc>
        <w:tc>
          <w:tcPr>
            <w:tcW w:w="218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20"/>
                <w:szCs w:val="20"/>
                <w:color w:val="auto"/>
              </w:rPr>
              <w:t>Samuel J. Merksamer</w:t>
            </w:r>
          </w:p>
        </w:tc>
        <w:tc>
          <w:tcPr>
            <w:tcW w:w="80" w:type="dxa"/>
            <w:vAlign w:val="bottom"/>
            <w:tcBorders>
              <w:top w:val="single" w:sz="8" w:color="auto"/>
              <w:right w:val="single" w:sz="8" w:color="auto"/>
            </w:tcBorders>
          </w:tcPr>
          <w:p>
            <w:pPr>
              <w:spacing w:after="0"/>
              <w:rPr>
                <w:sz w:val="22"/>
                <w:szCs w:val="22"/>
                <w:color w:val="auto"/>
              </w:rPr>
            </w:pPr>
          </w:p>
        </w:tc>
        <w:tc>
          <w:tcPr>
            <w:tcW w:w="1500" w:type="dxa"/>
            <w:vAlign w:val="bottom"/>
            <w:tcBorders>
              <w:top w:val="single" w:sz="8" w:color="auto"/>
              <w:right w:val="single" w:sz="8" w:color="auto"/>
            </w:tcBorders>
            <w:gridSpan w:val="2"/>
          </w:tcPr>
          <w:p>
            <w:pPr>
              <w:jc w:val="right"/>
              <w:ind w:right="161"/>
              <w:spacing w:after="0"/>
              <w:rPr>
                <w:sz w:val="20"/>
                <w:szCs w:val="20"/>
                <w:color w:val="auto"/>
              </w:rPr>
            </w:pPr>
            <w:r>
              <w:rPr>
                <w:rFonts w:ascii="Times New Roman" w:cs="Times New Roman" w:eastAsia="Times New Roman" w:hAnsi="Times New Roman"/>
                <w:sz w:val="20"/>
                <w:szCs w:val="20"/>
                <w:color w:val="auto"/>
              </w:rPr>
              <w:t>607,175,019</w:t>
            </w:r>
          </w:p>
        </w:tc>
        <w:tc>
          <w:tcPr>
            <w:tcW w:w="1340" w:type="dxa"/>
            <w:vAlign w:val="bottom"/>
            <w:tcBorders>
              <w:top w:val="single" w:sz="8" w:color="auto"/>
              <w:right w:val="single" w:sz="8" w:color="auto"/>
            </w:tcBorders>
            <w:gridSpan w:val="2"/>
          </w:tcPr>
          <w:p>
            <w:pPr>
              <w:jc w:val="right"/>
              <w:ind w:right="141"/>
              <w:spacing w:after="0"/>
              <w:rPr>
                <w:sz w:val="20"/>
                <w:szCs w:val="20"/>
                <w:color w:val="auto"/>
              </w:rPr>
            </w:pPr>
            <w:r>
              <w:rPr>
                <w:rFonts w:ascii="Times New Roman" w:cs="Times New Roman" w:eastAsia="Times New Roman" w:hAnsi="Times New Roman"/>
                <w:sz w:val="20"/>
                <w:szCs w:val="20"/>
                <w:color w:val="auto"/>
              </w:rPr>
              <w:t>20,774,960</w:t>
            </w:r>
          </w:p>
        </w:tc>
        <w:tc>
          <w:tcPr>
            <w:tcW w:w="12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1,024,608</w:t>
            </w:r>
          </w:p>
        </w:tc>
        <w:tc>
          <w:tcPr>
            <w:tcW w:w="1660" w:type="dxa"/>
            <w:vAlign w:val="bottom"/>
            <w:tcBorders>
              <w:top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20"/>
                <w:szCs w:val="20"/>
                <w:color w:val="auto"/>
              </w:rPr>
              <w:t>126,284,743</w:t>
            </w:r>
          </w:p>
        </w:tc>
        <w:tc>
          <w:tcPr>
            <w:tcW w:w="0" w:type="dxa"/>
            <w:vAlign w:val="bottom"/>
          </w:tcPr>
          <w:p>
            <w:pPr>
              <w:spacing w:after="0"/>
              <w:rPr>
                <w:sz w:val="1"/>
                <w:szCs w:val="1"/>
                <w:color w:val="auto"/>
              </w:rPr>
            </w:pPr>
          </w:p>
        </w:tc>
      </w:tr>
      <w:tr>
        <w:trPr>
          <w:trHeight w:val="21"/>
        </w:trPr>
        <w:tc>
          <w:tcPr>
            <w:tcW w:w="4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500" w:type="dxa"/>
            <w:vAlign w:val="bottom"/>
            <w:tcBorders>
              <w:bottom w:val="single" w:sz="8" w:color="auto"/>
              <w:right w:val="single" w:sz="8" w:color="auto"/>
            </w:tcBorders>
            <w:gridSpan w:val="2"/>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16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2"/>
        </w:trPr>
        <w:tc>
          <w:tcPr>
            <w:tcW w:w="400" w:type="dxa"/>
            <w:vAlign w:val="bottom"/>
            <w:tcBorders>
              <w:left w:val="single" w:sz="8" w:color="auto"/>
              <w:bottom w:val="single" w:sz="8" w:color="CCEEFF"/>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20"/>
                <w:szCs w:val="20"/>
                <w:color w:val="auto"/>
              </w:rPr>
              <w:t>5J</w:t>
            </w:r>
          </w:p>
        </w:tc>
        <w:tc>
          <w:tcPr>
            <w:tcW w:w="2180" w:type="dxa"/>
            <w:vAlign w:val="bottom"/>
            <w:tcBorders>
              <w:bottom w:val="single" w:sz="8" w:color="CCEEFF"/>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Frederik W. Mohn</w:t>
            </w:r>
          </w:p>
        </w:tc>
        <w:tc>
          <w:tcPr>
            <w:tcW w:w="80" w:type="dxa"/>
            <w:vAlign w:val="bottom"/>
            <w:tcBorders>
              <w:bottom w:val="single" w:sz="8" w:color="CCEEFF"/>
              <w:right w:val="single" w:sz="8" w:color="auto"/>
            </w:tcBorders>
            <w:shd w:val="clear" w:color="auto" w:fill="CCEEFF"/>
          </w:tcPr>
          <w:p>
            <w:pPr>
              <w:spacing w:after="0"/>
              <w:rPr>
                <w:sz w:val="24"/>
                <w:szCs w:val="24"/>
                <w:color w:val="auto"/>
              </w:rPr>
            </w:pPr>
          </w:p>
        </w:tc>
        <w:tc>
          <w:tcPr>
            <w:tcW w:w="1500" w:type="dxa"/>
            <w:vAlign w:val="bottom"/>
            <w:tcBorders>
              <w:bottom w:val="single" w:sz="8" w:color="CCEEFF"/>
              <w:right w:val="single" w:sz="8" w:color="auto"/>
            </w:tcBorders>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20"/>
                <w:szCs w:val="20"/>
                <w:color w:val="auto"/>
              </w:rPr>
              <w:t>593,666,633</w:t>
            </w:r>
          </w:p>
        </w:tc>
        <w:tc>
          <w:tcPr>
            <w:tcW w:w="1340" w:type="dxa"/>
            <w:vAlign w:val="bottom"/>
            <w:tcBorders>
              <w:bottom w:val="single" w:sz="8" w:color="CCEEFF"/>
              <w:right w:val="single" w:sz="8" w:color="auto"/>
            </w:tcBorders>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34,212,298</w:t>
            </w:r>
          </w:p>
        </w:tc>
        <w:tc>
          <w:tcPr>
            <w:tcW w:w="1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7"/>
              </w:rPr>
              <w:t>1,095,656</w:t>
            </w:r>
          </w:p>
        </w:tc>
        <w:tc>
          <w:tcPr>
            <w:tcW w:w="1660" w:type="dxa"/>
            <w:vAlign w:val="bottom"/>
            <w:tcBorders>
              <w:bottom w:val="single" w:sz="8" w:color="CCEEFF"/>
              <w:right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20"/>
                <w:szCs w:val="20"/>
                <w:color w:val="auto"/>
              </w:rPr>
              <w:t>126,284,743</w:t>
            </w:r>
          </w:p>
        </w:tc>
        <w:tc>
          <w:tcPr>
            <w:tcW w:w="0" w:type="dxa"/>
            <w:vAlign w:val="bottom"/>
          </w:tcPr>
          <w:p>
            <w:pPr>
              <w:spacing w:after="0"/>
              <w:rPr>
                <w:sz w:val="1"/>
                <w:szCs w:val="1"/>
                <w:color w:val="auto"/>
              </w:rPr>
            </w:pPr>
          </w:p>
        </w:tc>
      </w:tr>
      <w:tr>
        <w:trPr>
          <w:trHeight w:val="256"/>
        </w:trPr>
        <w:tc>
          <w:tcPr>
            <w:tcW w:w="400" w:type="dxa"/>
            <w:vAlign w:val="bottom"/>
            <w:tcBorders>
              <w:top w:val="single" w:sz="8" w:color="auto"/>
              <w:left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5K</w:t>
            </w:r>
          </w:p>
        </w:tc>
        <w:tc>
          <w:tcPr>
            <w:tcW w:w="218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20"/>
                <w:szCs w:val="20"/>
                <w:color w:val="auto"/>
              </w:rPr>
              <w:t>Jeremy D. Thigpen</w:t>
            </w:r>
          </w:p>
        </w:tc>
        <w:tc>
          <w:tcPr>
            <w:tcW w:w="80" w:type="dxa"/>
            <w:vAlign w:val="bottom"/>
            <w:tcBorders>
              <w:top w:val="single" w:sz="8" w:color="auto"/>
              <w:right w:val="single" w:sz="8" w:color="auto"/>
            </w:tcBorders>
          </w:tcPr>
          <w:p>
            <w:pPr>
              <w:spacing w:after="0"/>
              <w:rPr>
                <w:sz w:val="22"/>
                <w:szCs w:val="22"/>
                <w:color w:val="auto"/>
              </w:rPr>
            </w:pPr>
          </w:p>
        </w:tc>
        <w:tc>
          <w:tcPr>
            <w:tcW w:w="1500" w:type="dxa"/>
            <w:vAlign w:val="bottom"/>
            <w:tcBorders>
              <w:top w:val="single" w:sz="8" w:color="auto"/>
              <w:right w:val="single" w:sz="8" w:color="auto"/>
            </w:tcBorders>
            <w:gridSpan w:val="2"/>
          </w:tcPr>
          <w:p>
            <w:pPr>
              <w:jc w:val="right"/>
              <w:ind w:right="161"/>
              <w:spacing w:after="0"/>
              <w:rPr>
                <w:sz w:val="20"/>
                <w:szCs w:val="20"/>
                <w:color w:val="auto"/>
              </w:rPr>
            </w:pPr>
            <w:r>
              <w:rPr>
                <w:rFonts w:ascii="Times New Roman" w:cs="Times New Roman" w:eastAsia="Times New Roman" w:hAnsi="Times New Roman"/>
                <w:sz w:val="20"/>
                <w:szCs w:val="20"/>
                <w:color w:val="auto"/>
              </w:rPr>
              <w:t>605,594,445</w:t>
            </w:r>
          </w:p>
        </w:tc>
        <w:tc>
          <w:tcPr>
            <w:tcW w:w="1340" w:type="dxa"/>
            <w:vAlign w:val="bottom"/>
            <w:tcBorders>
              <w:top w:val="single" w:sz="8" w:color="auto"/>
              <w:right w:val="single" w:sz="8" w:color="auto"/>
            </w:tcBorders>
            <w:gridSpan w:val="2"/>
          </w:tcPr>
          <w:p>
            <w:pPr>
              <w:jc w:val="right"/>
              <w:ind w:right="141"/>
              <w:spacing w:after="0"/>
              <w:rPr>
                <w:sz w:val="20"/>
                <w:szCs w:val="20"/>
                <w:color w:val="auto"/>
              </w:rPr>
            </w:pPr>
            <w:r>
              <w:rPr>
                <w:rFonts w:ascii="Times New Roman" w:cs="Times New Roman" w:eastAsia="Times New Roman" w:hAnsi="Times New Roman"/>
                <w:sz w:val="20"/>
                <w:szCs w:val="20"/>
                <w:color w:val="auto"/>
              </w:rPr>
              <w:t>22,435,501</w:t>
            </w:r>
          </w:p>
        </w:tc>
        <w:tc>
          <w:tcPr>
            <w:tcW w:w="12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944,641</w:t>
            </w:r>
          </w:p>
        </w:tc>
        <w:tc>
          <w:tcPr>
            <w:tcW w:w="1660" w:type="dxa"/>
            <w:vAlign w:val="bottom"/>
            <w:tcBorders>
              <w:top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20"/>
                <w:szCs w:val="20"/>
                <w:color w:val="auto"/>
              </w:rPr>
              <w:t>126,284,743</w:t>
            </w:r>
          </w:p>
        </w:tc>
        <w:tc>
          <w:tcPr>
            <w:tcW w:w="0" w:type="dxa"/>
            <w:vAlign w:val="bottom"/>
          </w:tcPr>
          <w:p>
            <w:pPr>
              <w:spacing w:after="0"/>
              <w:rPr>
                <w:sz w:val="1"/>
                <w:szCs w:val="1"/>
                <w:color w:val="auto"/>
              </w:rPr>
            </w:pPr>
          </w:p>
        </w:tc>
      </w:tr>
      <w:tr>
        <w:trPr>
          <w:trHeight w:val="21"/>
        </w:trPr>
        <w:tc>
          <w:tcPr>
            <w:tcW w:w="4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right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16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ind w:left="540" w:right="260"/>
        <w:spacing w:after="0" w:line="269" w:lineRule="auto"/>
        <w:rPr>
          <w:sz w:val="20"/>
          <w:szCs w:val="20"/>
          <w:color w:val="auto"/>
        </w:rPr>
      </w:pPr>
      <w:r>
        <w:rPr>
          <w:rFonts w:ascii="Times New Roman" w:cs="Times New Roman" w:eastAsia="Times New Roman" w:hAnsi="Times New Roman"/>
          <w:sz w:val="20"/>
          <w:szCs w:val="20"/>
          <w:color w:val="auto"/>
        </w:rPr>
        <w:t>Each of the 11 persons listed above was duly elected as a director of the Company to hold office until the completion of the next Annual General Meeting.</w:t>
      </w:r>
    </w:p>
    <w:p>
      <w:pPr>
        <w:spacing w:after="0" w:line="227" w:lineRule="exact"/>
        <w:rPr>
          <w:sz w:val="20"/>
          <w:szCs w:val="20"/>
          <w:color w:val="auto"/>
        </w:rPr>
      </w:pPr>
    </w:p>
    <w:p>
      <w:pPr>
        <w:ind w:left="880" w:right="240" w:hanging="320"/>
        <w:spacing w:after="0" w:line="269" w:lineRule="auto"/>
        <w:tabs>
          <w:tab w:leader="none" w:pos="88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Proposal regarding the election of the Chair of the Board of Directors for a term extending until completion of the next Annual General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4214495</wp:posOffset>
            </wp:positionH>
            <wp:positionV relativeFrom="paragraph">
              <wp:posOffset>90170</wp:posOffset>
            </wp:positionV>
            <wp:extent cx="8890" cy="3860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386080"/>
                    </a:xfrm>
                    <a:prstGeom prst="rect">
                      <a:avLst/>
                    </a:prstGeom>
                    <a:noFill/>
                  </pic:spPr>
                </pic:pic>
              </a:graphicData>
            </a:graphic>
          </wp:anchor>
        </w:drawing>
        <w:drawing>
          <wp:anchor simplePos="0" relativeHeight="251657728" behindDoc="1" locked="0" layoutInCell="0" allowOverlap="1">
            <wp:simplePos x="0" y="0"/>
            <wp:positionH relativeFrom="column">
              <wp:posOffset>2757170</wp:posOffset>
            </wp:positionH>
            <wp:positionV relativeFrom="paragraph">
              <wp:posOffset>90170</wp:posOffset>
            </wp:positionV>
            <wp:extent cx="8255" cy="3860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255" cy="386080"/>
                    </a:xfrm>
                    <a:prstGeom prst="rect">
                      <a:avLst/>
                    </a:prstGeom>
                    <a:noFill/>
                  </pic:spPr>
                </pic:pic>
              </a:graphicData>
            </a:graphic>
          </wp:anchor>
        </w:drawing>
      </w:r>
    </w:p>
    <w:p>
      <w:pPr>
        <w:spacing w:after="0" w:line="102" w:lineRule="exact"/>
        <w:rPr>
          <w:sz w:val="20"/>
          <w:szCs w:val="20"/>
          <w:color w:val="auto"/>
        </w:rPr>
      </w:pPr>
    </w:p>
    <w:tbl>
      <w:tblPr>
        <w:tblLayout w:type="fixed"/>
        <w:tblInd w:w="430" w:type="dxa"/>
        <w:tblCellMar>
          <w:top w:w="0" w:type="dxa"/>
          <w:left w:w="0" w:type="dxa"/>
          <w:bottom w:w="0" w:type="dxa"/>
          <w:right w:w="0" w:type="dxa"/>
        </w:tblCellMar>
      </w:tblPr>
      <w:tr>
        <w:trPr>
          <w:trHeight w:val="302"/>
        </w:trPr>
        <w:tc>
          <w:tcPr>
            <w:tcW w:w="2460" w:type="dxa"/>
            <w:vAlign w:val="bottom"/>
            <w:tcBorders>
              <w:top w:val="single" w:sz="8" w:color="auto"/>
              <w:left w:val="single" w:sz="8" w:color="auto"/>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Name of Chair Nominee</w:t>
            </w:r>
          </w:p>
        </w:tc>
        <w:tc>
          <w:tcPr>
            <w:tcW w:w="400" w:type="dxa"/>
            <w:vAlign w:val="bottom"/>
            <w:tcBorders>
              <w:top w:val="single" w:sz="8" w:color="auto"/>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20"/>
                <w:szCs w:val="20"/>
                <w:b w:val="1"/>
                <w:bCs w:val="1"/>
                <w:color w:val="auto"/>
              </w:rPr>
              <w:t>​​​</w:t>
            </w:r>
          </w:p>
        </w:tc>
        <w:tc>
          <w:tcPr>
            <w:tcW w:w="880" w:type="dxa"/>
            <w:vAlign w:val="bottom"/>
            <w:tcBorders>
              <w:top w:val="single" w:sz="8" w:color="auto"/>
              <w:bottom w:val="single" w:sz="8" w:color="CCEEFF"/>
            </w:tcBorders>
            <w:shd w:val="clear" w:color="auto" w:fill="CCEEFF"/>
          </w:tcPr>
          <w:p>
            <w:pPr>
              <w:jc w:val="center"/>
              <w:ind w:right="121"/>
              <w:spacing w:after="0"/>
              <w:rPr>
                <w:sz w:val="20"/>
                <w:szCs w:val="20"/>
                <w:color w:val="auto"/>
              </w:rPr>
            </w:pPr>
            <w:r>
              <w:rPr>
                <w:rFonts w:ascii="Times New Roman" w:cs="Times New Roman" w:eastAsia="Times New Roman" w:hAnsi="Times New Roman"/>
                <w:sz w:val="20"/>
                <w:szCs w:val="20"/>
                <w:b w:val="1"/>
                <w:bCs w:val="1"/>
                <w:color w:val="auto"/>
                <w:w w:val="96"/>
              </w:rPr>
              <w:t>For</w:t>
            </w:r>
          </w:p>
        </w:tc>
        <w:tc>
          <w:tcPr>
            <w:tcW w:w="1220" w:type="dxa"/>
            <w:vAlign w:val="bottom"/>
            <w:tcBorders>
              <w:top w:val="single" w:sz="8" w:color="auto"/>
              <w:bottom w:val="single" w:sz="8" w:color="CCEEFF"/>
              <w:right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b w:val="1"/>
                <w:bCs w:val="1"/>
                <w:color w:val="auto"/>
              </w:rPr>
              <w:t>​​​  Against</w:t>
            </w:r>
          </w:p>
        </w:tc>
        <w:tc>
          <w:tcPr>
            <w:tcW w:w="108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b w:val="1"/>
                <w:bCs w:val="1"/>
                <w:color w:val="auto"/>
              </w:rPr>
              <w:t>​​​ Abstain</w:t>
            </w:r>
          </w:p>
        </w:tc>
        <w:tc>
          <w:tcPr>
            <w:tcW w:w="2140" w:type="dxa"/>
            <w:vAlign w:val="bottom"/>
            <w:tcBorders>
              <w:top w:val="single" w:sz="8" w:color="auto"/>
              <w:bottom w:val="single" w:sz="8" w:color="CCEEFF"/>
              <w:right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20"/>
                <w:szCs w:val="20"/>
                <w:b w:val="1"/>
                <w:bCs w:val="1"/>
                <w:color w:val="auto"/>
              </w:rPr>
              <w:t>​​​  Broker Non-Votes</w:t>
            </w:r>
          </w:p>
        </w:tc>
      </w:tr>
      <w:tr>
        <w:trPr>
          <w:trHeight w:val="256"/>
        </w:trPr>
        <w:tc>
          <w:tcPr>
            <w:tcW w:w="24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Jeremy D. Thigpen</w:t>
            </w:r>
          </w:p>
        </w:tc>
        <w:tc>
          <w:tcPr>
            <w:tcW w:w="12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605,505,060</w:t>
            </w:r>
          </w:p>
        </w:tc>
        <w:tc>
          <w:tcPr>
            <w:tcW w:w="122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22,409,695</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1,059,832</w:t>
            </w:r>
          </w:p>
        </w:tc>
        <w:tc>
          <w:tcPr>
            <w:tcW w:w="2140" w:type="dxa"/>
            <w:vAlign w:val="bottom"/>
            <w:tcBorders>
              <w:top w:val="single" w:sz="8" w:color="auto"/>
              <w:right w:val="single" w:sz="8" w:color="auto"/>
            </w:tcBorders>
          </w:tcPr>
          <w:p>
            <w:pPr>
              <w:jc w:val="right"/>
              <w:ind w:right="421"/>
              <w:spacing w:after="0"/>
              <w:rPr>
                <w:sz w:val="20"/>
                <w:szCs w:val="20"/>
                <w:color w:val="auto"/>
              </w:rPr>
            </w:pPr>
            <w:r>
              <w:rPr>
                <w:rFonts w:ascii="Times New Roman" w:cs="Times New Roman" w:eastAsia="Times New Roman" w:hAnsi="Times New Roman"/>
                <w:sz w:val="20"/>
                <w:szCs w:val="20"/>
                <w:color w:val="auto"/>
              </w:rPr>
              <w:t>126,284,743</w:t>
            </w:r>
          </w:p>
        </w:tc>
      </w:tr>
      <w:tr>
        <w:trPr>
          <w:trHeight w:val="21"/>
        </w:trPr>
        <w:tc>
          <w:tcPr>
            <w:tcW w:w="24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right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right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200" w:right="260" w:firstLine="648"/>
        <w:spacing w:after="0" w:line="269" w:lineRule="auto"/>
        <w:rPr>
          <w:sz w:val="20"/>
          <w:szCs w:val="20"/>
          <w:color w:val="auto"/>
        </w:rPr>
      </w:pPr>
      <w:r>
        <w:rPr>
          <w:rFonts w:ascii="Times New Roman" w:cs="Times New Roman" w:eastAsia="Times New Roman" w:hAnsi="Times New Roman"/>
          <w:sz w:val="20"/>
          <w:szCs w:val="20"/>
          <w:color w:val="auto"/>
        </w:rPr>
        <w:t>Jeremy D. Thigpen was elected Chair of the Board of Directors of the Company to hold office until the completion of the next Annual General Meeting.</w:t>
      </w:r>
    </w:p>
    <w:p>
      <w:pPr>
        <w:spacing w:after="0" w:line="173" w:lineRule="exact"/>
        <w:rPr>
          <w:sz w:val="20"/>
          <w:szCs w:val="20"/>
          <w:color w:val="auto"/>
        </w:rPr>
      </w:pPr>
    </w:p>
    <w:p>
      <w:pPr>
        <w:ind w:left="880" w:right="240" w:hanging="320"/>
        <w:spacing w:after="0" w:line="269" w:lineRule="auto"/>
        <w:tabs>
          <w:tab w:leader="none" w:pos="88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Proposal regarding the election of the members of the Compensation Committee, each for a term extending until completion of the next Annual General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4763135</wp:posOffset>
            </wp:positionH>
            <wp:positionV relativeFrom="paragraph">
              <wp:posOffset>90170</wp:posOffset>
            </wp:positionV>
            <wp:extent cx="8255" cy="9086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255" cy="90868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90170</wp:posOffset>
            </wp:positionV>
            <wp:extent cx="8890" cy="9086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890" cy="908685"/>
                    </a:xfrm>
                    <a:prstGeom prst="rect">
                      <a:avLst/>
                    </a:prstGeom>
                    <a:noFill/>
                  </pic:spPr>
                </pic:pic>
              </a:graphicData>
            </a:graphic>
          </wp:anchor>
        </w:drawing>
      </w:r>
    </w:p>
    <w:p>
      <w:pPr>
        <w:spacing w:after="0" w:line="102" w:lineRule="exact"/>
        <w:rPr>
          <w:sz w:val="20"/>
          <w:szCs w:val="20"/>
          <w:color w:val="auto"/>
        </w:rPr>
      </w:pPr>
    </w:p>
    <w:tbl>
      <w:tblPr>
        <w:tblLayout w:type="fixed"/>
        <w:tblInd w:w="190" w:type="dxa"/>
        <w:tblCellMar>
          <w:top w:w="0" w:type="dxa"/>
          <w:left w:w="0" w:type="dxa"/>
          <w:bottom w:w="0" w:type="dxa"/>
          <w:right w:w="0" w:type="dxa"/>
        </w:tblCellMar>
      </w:tblPr>
      <w:tr>
        <w:trPr>
          <w:trHeight w:val="243"/>
        </w:trPr>
        <w:tc>
          <w:tcPr>
            <w:tcW w:w="3860" w:type="dxa"/>
            <w:vAlign w:val="bottom"/>
            <w:tcBorders>
              <w:top w:val="single" w:sz="8" w:color="auto"/>
              <w:left w:val="single" w:sz="8" w:color="auto"/>
              <w:right w:val="single" w:sz="8" w:color="auto"/>
            </w:tcBorders>
            <w:shd w:val="clear" w:color="auto" w:fill="CCEEFF"/>
          </w:tcPr>
          <w:p>
            <w:pPr>
              <w:spacing w:after="0"/>
              <w:rPr>
                <w:sz w:val="21"/>
                <w:szCs w:val="21"/>
                <w:color w:val="auto"/>
              </w:rPr>
            </w:pPr>
          </w:p>
        </w:tc>
        <w:tc>
          <w:tcPr>
            <w:tcW w:w="1060" w:type="dxa"/>
            <w:vAlign w:val="bottom"/>
            <w:tcBorders>
              <w:top w:val="single" w:sz="8" w:color="auto"/>
            </w:tcBorders>
            <w:shd w:val="clear" w:color="auto" w:fill="CCEEFF"/>
          </w:tcPr>
          <w:p>
            <w:pPr>
              <w:spacing w:after="0"/>
              <w:rPr>
                <w:sz w:val="21"/>
                <w:szCs w:val="21"/>
                <w:color w:val="auto"/>
              </w:rPr>
            </w:pPr>
          </w:p>
        </w:tc>
        <w:tc>
          <w:tcPr>
            <w:tcW w:w="1160" w:type="dxa"/>
            <w:vAlign w:val="bottom"/>
            <w:tcBorders>
              <w:top w:val="single" w:sz="8" w:color="auto"/>
              <w:right w:val="single" w:sz="8" w:color="auto"/>
            </w:tcBorders>
            <w:shd w:val="clear" w:color="auto" w:fill="CCEEFF"/>
          </w:tcPr>
          <w:p>
            <w:pPr>
              <w:spacing w:after="0"/>
              <w:rPr>
                <w:sz w:val="21"/>
                <w:szCs w:val="21"/>
                <w:color w:val="auto"/>
              </w:rPr>
            </w:pPr>
          </w:p>
        </w:tc>
        <w:tc>
          <w:tcPr>
            <w:tcW w:w="1360" w:type="dxa"/>
            <w:vAlign w:val="bottom"/>
            <w:tcBorders>
              <w:top w:val="single" w:sz="8" w:color="auto"/>
            </w:tcBorders>
            <w:shd w:val="clear" w:color="auto" w:fill="CCEEFF"/>
          </w:tcPr>
          <w:p>
            <w:pPr>
              <w:spacing w:after="0"/>
              <w:rPr>
                <w:sz w:val="21"/>
                <w:szCs w:val="21"/>
                <w:color w:val="auto"/>
              </w:rPr>
            </w:pPr>
          </w:p>
        </w:tc>
        <w:tc>
          <w:tcPr>
            <w:tcW w:w="1420" w:type="dxa"/>
            <w:vAlign w:val="bottom"/>
            <w:tcBorders>
              <w:top w:val="single" w:sz="8" w:color="auto"/>
              <w:right w:val="single" w:sz="8" w:color="auto"/>
            </w:tcBorders>
            <w:shd w:val="clear" w:color="auto" w:fill="CCEEFF"/>
          </w:tcPr>
          <w:p>
            <w:pPr>
              <w:jc w:val="center"/>
              <w:ind w:right="61"/>
              <w:spacing w:after="0"/>
              <w:rPr>
                <w:sz w:val="20"/>
                <w:szCs w:val="20"/>
                <w:color w:val="auto"/>
              </w:rPr>
            </w:pPr>
            <w:r>
              <w:rPr>
                <w:rFonts w:ascii="Times New Roman" w:cs="Times New Roman" w:eastAsia="Times New Roman" w:hAnsi="Times New Roman"/>
                <w:sz w:val="20"/>
                <w:szCs w:val="20"/>
                <w:b w:val="1"/>
                <w:bCs w:val="1"/>
                <w:color w:val="auto"/>
                <w:w w:val="97"/>
              </w:rPr>
              <w:t>Broker Non-</w:t>
            </w:r>
          </w:p>
        </w:tc>
      </w:tr>
      <w:tr>
        <w:trPr>
          <w:trHeight w:val="288"/>
        </w:trPr>
        <w:tc>
          <w:tcPr>
            <w:tcW w:w="386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b w:val="1"/>
                <w:bCs w:val="1"/>
                <w:color w:val="auto"/>
                <w:w w:val="99"/>
              </w:rPr>
              <w:t>Name of Compensation Committee Nominee</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20"/>
                <w:szCs w:val="20"/>
                <w:b w:val="1"/>
                <w:bCs w:val="1"/>
                <w:color w:val="auto"/>
                <w:w w:val="96"/>
              </w:rPr>
              <w:t>For</w:t>
            </w:r>
          </w:p>
        </w:tc>
        <w:tc>
          <w:tcPr>
            <w:tcW w:w="1160" w:type="dxa"/>
            <w:vAlign w:val="bottom"/>
            <w:tcBorders>
              <w:bottom w:val="single" w:sz="8" w:color="CCEEFF"/>
              <w:right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b w:val="1"/>
                <w:bCs w:val="1"/>
                <w:color w:val="auto"/>
              </w:rPr>
              <w:t>​​​ Against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rPr>
              <w:t>​​​ Abstain  ​​​</w:t>
            </w:r>
          </w:p>
        </w:tc>
        <w:tc>
          <w:tcPr>
            <w:tcW w:w="1420" w:type="dxa"/>
            <w:vAlign w:val="bottom"/>
            <w:tcBorders>
              <w:bottom w:val="single" w:sz="8" w:color="CCEEFF"/>
              <w:right w:val="single" w:sz="8" w:color="auto"/>
            </w:tcBorders>
            <w:shd w:val="clear" w:color="auto" w:fill="CCEEFF"/>
          </w:tcPr>
          <w:p>
            <w:pPr>
              <w:jc w:val="center"/>
              <w:ind w:right="61"/>
              <w:spacing w:after="0"/>
              <w:rPr>
                <w:sz w:val="20"/>
                <w:szCs w:val="20"/>
                <w:color w:val="auto"/>
              </w:rPr>
            </w:pPr>
            <w:r>
              <w:rPr>
                <w:rFonts w:ascii="Times New Roman" w:cs="Times New Roman" w:eastAsia="Times New Roman" w:hAnsi="Times New Roman"/>
                <w:sz w:val="20"/>
                <w:szCs w:val="20"/>
                <w:b w:val="1"/>
                <w:bCs w:val="1"/>
                <w:color w:val="auto"/>
                <w:w w:val="96"/>
              </w:rPr>
              <w:t>Votes</w:t>
            </w:r>
          </w:p>
        </w:tc>
      </w:tr>
      <w:tr>
        <w:trPr>
          <w:trHeight w:val="256"/>
        </w:trPr>
        <w:tc>
          <w:tcPr>
            <w:tcW w:w="386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Glyn A. Barker</w:t>
            </w:r>
          </w:p>
        </w:tc>
        <w:tc>
          <w:tcPr>
            <w:tcW w:w="1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605,476,279</w:t>
            </w:r>
          </w:p>
        </w:tc>
        <w:tc>
          <w:tcPr>
            <w:tcW w:w="116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22,346,063</w:t>
            </w:r>
          </w:p>
        </w:tc>
        <w:tc>
          <w:tcPr>
            <w:tcW w:w="1360" w:type="dxa"/>
            <w:vAlign w:val="bottom"/>
            <w:tcBorders>
              <w:top w:val="single" w:sz="8" w:color="auto"/>
            </w:tcBorders>
          </w:tcPr>
          <w:p>
            <w:pPr>
              <w:jc w:val="right"/>
              <w:ind w:right="241"/>
              <w:spacing w:after="0"/>
              <w:rPr>
                <w:sz w:val="20"/>
                <w:szCs w:val="20"/>
                <w:color w:val="auto"/>
              </w:rPr>
            </w:pPr>
            <w:r>
              <w:rPr>
                <w:rFonts w:ascii="Times New Roman" w:cs="Times New Roman" w:eastAsia="Times New Roman" w:hAnsi="Times New Roman"/>
                <w:sz w:val="20"/>
                <w:szCs w:val="20"/>
                <w:color w:val="auto"/>
              </w:rPr>
              <w:t>1,152,245</w:t>
            </w:r>
          </w:p>
        </w:tc>
        <w:tc>
          <w:tcPr>
            <w:tcW w:w="1420" w:type="dxa"/>
            <w:vAlign w:val="bottom"/>
            <w:tcBorders>
              <w:top w:val="single" w:sz="8" w:color="auto"/>
              <w:right w:val="single" w:sz="8" w:color="auto"/>
            </w:tcBorders>
          </w:tcPr>
          <w:p>
            <w:pPr>
              <w:jc w:val="center"/>
              <w:ind w:right="81"/>
              <w:spacing w:after="0"/>
              <w:rPr>
                <w:sz w:val="20"/>
                <w:szCs w:val="20"/>
                <w:color w:val="auto"/>
              </w:rPr>
            </w:pPr>
            <w:r>
              <w:rPr>
                <w:rFonts w:ascii="Times New Roman" w:cs="Times New Roman" w:eastAsia="Times New Roman" w:hAnsi="Times New Roman"/>
                <w:sz w:val="20"/>
                <w:szCs w:val="20"/>
                <w:color w:val="auto"/>
                <w:w w:val="99"/>
              </w:rPr>
              <w:t>126,284,743</w:t>
            </w:r>
          </w:p>
        </w:tc>
      </w:tr>
      <w:tr>
        <w:trPr>
          <w:trHeight w:val="21"/>
        </w:trPr>
        <w:tc>
          <w:tcPr>
            <w:tcW w:w="38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right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r>
      <w:tr>
        <w:trPr>
          <w:trHeight w:val="282"/>
        </w:trPr>
        <w:tc>
          <w:tcPr>
            <w:tcW w:w="386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Vanessa C.L. Chang</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7"/>
              </w:rPr>
              <w:t>606,659,268</w:t>
            </w:r>
          </w:p>
        </w:tc>
        <w:tc>
          <w:tcPr>
            <w:tcW w:w="11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21,153,557</w:t>
            </w:r>
          </w:p>
        </w:tc>
        <w:tc>
          <w:tcPr>
            <w:tcW w:w="1360" w:type="dxa"/>
            <w:vAlign w:val="bottom"/>
            <w:tcBorders>
              <w:bottom w:val="single" w:sz="8" w:color="CCEEFF"/>
            </w:tcBorders>
            <w:shd w:val="clear" w:color="auto" w:fill="CCEEFF"/>
          </w:tcPr>
          <w:p>
            <w:pPr>
              <w:jc w:val="right"/>
              <w:ind w:right="241"/>
              <w:spacing w:after="0"/>
              <w:rPr>
                <w:sz w:val="20"/>
                <w:szCs w:val="20"/>
                <w:color w:val="auto"/>
              </w:rPr>
            </w:pPr>
            <w:r>
              <w:rPr>
                <w:rFonts w:ascii="Times New Roman" w:cs="Times New Roman" w:eastAsia="Times New Roman" w:hAnsi="Times New Roman"/>
                <w:sz w:val="20"/>
                <w:szCs w:val="20"/>
                <w:color w:val="auto"/>
              </w:rPr>
              <w:t>1,161,762</w:t>
            </w:r>
          </w:p>
        </w:tc>
        <w:tc>
          <w:tcPr>
            <w:tcW w:w="1420" w:type="dxa"/>
            <w:vAlign w:val="bottom"/>
            <w:tcBorders>
              <w:bottom w:val="single" w:sz="8" w:color="CCEEFF"/>
              <w:right w:val="single" w:sz="8" w:color="auto"/>
            </w:tcBorders>
            <w:shd w:val="clear" w:color="auto" w:fill="CCEEFF"/>
          </w:tcPr>
          <w:p>
            <w:pPr>
              <w:jc w:val="center"/>
              <w:ind w:right="81"/>
              <w:spacing w:after="0"/>
              <w:rPr>
                <w:sz w:val="20"/>
                <w:szCs w:val="20"/>
                <w:color w:val="auto"/>
              </w:rPr>
            </w:pPr>
            <w:r>
              <w:rPr>
                <w:rFonts w:ascii="Times New Roman" w:cs="Times New Roman" w:eastAsia="Times New Roman" w:hAnsi="Times New Roman"/>
                <w:sz w:val="20"/>
                <w:szCs w:val="20"/>
                <w:color w:val="auto"/>
                <w:w w:val="99"/>
              </w:rPr>
              <w:t>126,284,743</w:t>
            </w:r>
          </w:p>
        </w:tc>
      </w:tr>
      <w:tr>
        <w:trPr>
          <w:trHeight w:val="256"/>
        </w:trPr>
        <w:tc>
          <w:tcPr>
            <w:tcW w:w="386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Frederico F. Curado</w:t>
            </w:r>
          </w:p>
        </w:tc>
        <w:tc>
          <w:tcPr>
            <w:tcW w:w="1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547,602,610</w:t>
            </w:r>
          </w:p>
        </w:tc>
        <w:tc>
          <w:tcPr>
            <w:tcW w:w="116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80,174,728</w:t>
            </w:r>
          </w:p>
        </w:tc>
        <w:tc>
          <w:tcPr>
            <w:tcW w:w="1360" w:type="dxa"/>
            <w:vAlign w:val="bottom"/>
            <w:tcBorders>
              <w:top w:val="single" w:sz="8" w:color="auto"/>
            </w:tcBorders>
          </w:tcPr>
          <w:p>
            <w:pPr>
              <w:jc w:val="right"/>
              <w:ind w:right="241"/>
              <w:spacing w:after="0"/>
              <w:rPr>
                <w:sz w:val="20"/>
                <w:szCs w:val="20"/>
                <w:color w:val="auto"/>
              </w:rPr>
            </w:pPr>
            <w:r>
              <w:rPr>
                <w:rFonts w:ascii="Times New Roman" w:cs="Times New Roman" w:eastAsia="Times New Roman" w:hAnsi="Times New Roman"/>
                <w:sz w:val="20"/>
                <w:szCs w:val="20"/>
                <w:color w:val="auto"/>
              </w:rPr>
              <w:t>1,197,249</w:t>
            </w:r>
          </w:p>
        </w:tc>
        <w:tc>
          <w:tcPr>
            <w:tcW w:w="1420" w:type="dxa"/>
            <w:vAlign w:val="bottom"/>
            <w:tcBorders>
              <w:top w:val="single" w:sz="8" w:color="auto"/>
              <w:right w:val="single" w:sz="8" w:color="auto"/>
            </w:tcBorders>
          </w:tcPr>
          <w:p>
            <w:pPr>
              <w:jc w:val="center"/>
              <w:ind w:right="81"/>
              <w:spacing w:after="0"/>
              <w:rPr>
                <w:sz w:val="20"/>
                <w:szCs w:val="20"/>
                <w:color w:val="auto"/>
              </w:rPr>
            </w:pPr>
            <w:r>
              <w:rPr>
                <w:rFonts w:ascii="Times New Roman" w:cs="Times New Roman" w:eastAsia="Times New Roman" w:hAnsi="Times New Roman"/>
                <w:sz w:val="20"/>
                <w:szCs w:val="20"/>
                <w:color w:val="auto"/>
                <w:w w:val="99"/>
              </w:rPr>
              <w:t>126,284,743</w:t>
            </w:r>
          </w:p>
        </w:tc>
      </w:tr>
      <w:tr>
        <w:trPr>
          <w:trHeight w:val="21"/>
        </w:trPr>
        <w:tc>
          <w:tcPr>
            <w:tcW w:w="38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right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r>
    </w:tbl>
    <w:p>
      <w:pPr>
        <w:spacing w:after="0" w:line="207" w:lineRule="exact"/>
        <w:rPr>
          <w:sz w:val="20"/>
          <w:szCs w:val="20"/>
          <w:color w:val="auto"/>
        </w:rPr>
      </w:pPr>
    </w:p>
    <w:p>
      <w:pPr>
        <w:jc w:val="both"/>
        <w:ind w:left="200" w:right="240" w:firstLine="648"/>
        <w:spacing w:after="0" w:line="269" w:lineRule="auto"/>
        <w:rPr>
          <w:sz w:val="20"/>
          <w:szCs w:val="20"/>
          <w:color w:val="auto"/>
        </w:rPr>
      </w:pPr>
      <w:r>
        <w:rPr>
          <w:rFonts w:ascii="Times New Roman" w:cs="Times New Roman" w:eastAsia="Times New Roman" w:hAnsi="Times New Roman"/>
          <w:sz w:val="20"/>
          <w:szCs w:val="20"/>
          <w:color w:val="auto"/>
        </w:rPr>
        <w:t>Each of the three persons listed above was duly elected to serve as a member of the Compensation Committee of the Company to hold office until completion of the next Annual General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321310</wp:posOffset>
            </wp:positionV>
            <wp:extent cx="545211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40"/>
          </w:cols>
          <w:pgMar w:left="1440" w:top="118" w:right="1419" w:bottom="1440" w:gutter="0" w:footer="0" w:header="0"/>
        </w:sectPr>
      </w:pPr>
    </w:p>
    <w:bookmarkStart w:id="4" w:name="page5"/>
    <w:bookmarkEnd w:id="4"/>
    <w:p>
      <w:pPr>
        <w:ind w:left="880" w:right="239" w:hanging="320"/>
        <w:spacing w:after="0" w:line="268" w:lineRule="auto"/>
        <w:tabs>
          <w:tab w:leader="none" w:pos="88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Proposal regarding the reelection of the independent proxy for a term extending until completion of the next Annual General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3700145</wp:posOffset>
            </wp:positionH>
            <wp:positionV relativeFrom="paragraph">
              <wp:posOffset>90805</wp:posOffset>
            </wp:positionV>
            <wp:extent cx="8890" cy="3860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890" cy="386080"/>
                    </a:xfrm>
                    <a:prstGeom prst="rect">
                      <a:avLst/>
                    </a:prstGeom>
                    <a:noFill/>
                  </pic:spPr>
                </pic:pic>
              </a:graphicData>
            </a:graphic>
          </wp:anchor>
        </w:drawing>
      </w:r>
    </w:p>
    <w:p>
      <w:pPr>
        <w:spacing w:after="0" w:line="103" w:lineRule="exact"/>
        <w:rPr>
          <w:sz w:val="20"/>
          <w:szCs w:val="20"/>
          <w:color w:val="auto"/>
        </w:rPr>
      </w:pPr>
    </w:p>
    <w:tbl>
      <w:tblPr>
        <w:tblLayout w:type="fixed"/>
        <w:tblInd w:w="430" w:type="dxa"/>
        <w:tblCellMar>
          <w:top w:w="0" w:type="dxa"/>
          <w:left w:w="0" w:type="dxa"/>
          <w:bottom w:w="0" w:type="dxa"/>
          <w:right w:w="0" w:type="dxa"/>
        </w:tblCellMar>
      </w:tblPr>
      <w:tr>
        <w:trPr>
          <w:trHeight w:val="302"/>
        </w:trPr>
        <w:tc>
          <w:tcPr>
            <w:tcW w:w="2700" w:type="dxa"/>
            <w:vAlign w:val="bottom"/>
            <w:tcBorders>
              <w:top w:val="single" w:sz="8" w:color="auto"/>
              <w:left w:val="single" w:sz="8" w:color="auto"/>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20"/>
                <w:szCs w:val="20"/>
                <w:b w:val="1"/>
                <w:bCs w:val="1"/>
                <w:color w:val="auto"/>
                <w:w w:val="96"/>
              </w:rPr>
              <w:t>For</w:t>
            </w:r>
          </w:p>
        </w:tc>
        <w:tc>
          <w:tcPr>
            <w:tcW w:w="600" w:type="dxa"/>
            <w:vAlign w:val="bottom"/>
            <w:tcBorders>
              <w:top w:val="single" w:sz="8" w:color="auto"/>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20"/>
                <w:szCs w:val="20"/>
                <w:b w:val="1"/>
                <w:bCs w:val="1"/>
                <w:color w:val="auto"/>
              </w:rPr>
              <w:t>​​​</w:t>
            </w:r>
          </w:p>
        </w:tc>
        <w:tc>
          <w:tcPr>
            <w:tcW w:w="15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20"/>
                <w:szCs w:val="20"/>
                <w:b w:val="1"/>
                <w:bCs w:val="1"/>
                <w:color w:val="auto"/>
              </w:rPr>
              <w:t>Against</w:t>
            </w:r>
          </w:p>
        </w:tc>
        <w:tc>
          <w:tcPr>
            <w:tcW w:w="1020" w:type="dxa"/>
            <w:vAlign w:val="bottom"/>
            <w:tcBorders>
              <w:top w:val="single" w:sz="8" w:color="auto"/>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20"/>
                <w:szCs w:val="20"/>
                <w:b w:val="1"/>
                <w:bCs w:val="1"/>
                <w:color w:val="auto"/>
              </w:rPr>
              <w:t>​​​</w:t>
            </w:r>
          </w:p>
        </w:tc>
        <w:tc>
          <w:tcPr>
            <w:tcW w:w="2280" w:type="dxa"/>
            <w:vAlign w:val="bottom"/>
            <w:tcBorders>
              <w:top w:val="single" w:sz="8" w:color="auto"/>
              <w:bottom w:val="single" w:sz="8" w:color="CCEEFF"/>
              <w:right w:val="single" w:sz="8" w:color="auto"/>
            </w:tcBorders>
            <w:shd w:val="clear" w:color="auto" w:fill="CCEEFF"/>
          </w:tcPr>
          <w:p>
            <w:pPr>
              <w:jc w:val="center"/>
              <w:ind w:right="481"/>
              <w:spacing w:after="0"/>
              <w:rPr>
                <w:sz w:val="20"/>
                <w:szCs w:val="20"/>
                <w:color w:val="auto"/>
              </w:rPr>
            </w:pPr>
            <w:r>
              <w:rPr>
                <w:rFonts w:ascii="Times New Roman" w:cs="Times New Roman" w:eastAsia="Times New Roman" w:hAnsi="Times New Roman"/>
                <w:sz w:val="20"/>
                <w:szCs w:val="20"/>
                <w:b w:val="1"/>
                <w:bCs w:val="1"/>
                <w:color w:val="auto"/>
                <w:w w:val="98"/>
              </w:rPr>
              <w:t>Abstain</w:t>
            </w:r>
          </w:p>
        </w:tc>
      </w:tr>
      <w:tr>
        <w:trPr>
          <w:trHeight w:val="256"/>
        </w:trPr>
        <w:tc>
          <w:tcPr>
            <w:tcW w:w="2700" w:type="dxa"/>
            <w:vAlign w:val="bottom"/>
            <w:tcBorders>
              <w:top w:val="single" w:sz="8" w:color="auto"/>
              <w:left w:val="single" w:sz="8" w:color="auto"/>
              <w:right w:val="single" w:sz="8" w:color="auto"/>
            </w:tcBorders>
          </w:tcPr>
          <w:p>
            <w:pPr>
              <w:jc w:val="right"/>
              <w:ind w:right="761"/>
              <w:spacing w:after="0"/>
              <w:rPr>
                <w:sz w:val="20"/>
                <w:szCs w:val="20"/>
                <w:color w:val="auto"/>
              </w:rPr>
            </w:pPr>
            <w:r>
              <w:rPr>
                <w:rFonts w:ascii="Times New Roman" w:cs="Times New Roman" w:eastAsia="Times New Roman" w:hAnsi="Times New Roman"/>
                <w:sz w:val="20"/>
                <w:szCs w:val="20"/>
                <w:color w:val="auto"/>
              </w:rPr>
              <w:t>748,971,747</w:t>
            </w:r>
          </w:p>
        </w:tc>
        <w:tc>
          <w:tcPr>
            <w:tcW w:w="600" w:type="dxa"/>
            <w:vAlign w:val="bottom"/>
            <w:tcBorders>
              <w:top w:val="single" w:sz="8" w:color="auto"/>
            </w:tcBorders>
          </w:tcPr>
          <w:p>
            <w:pPr>
              <w:spacing w:after="0"/>
              <w:rPr>
                <w:sz w:val="22"/>
                <w:szCs w:val="22"/>
                <w:color w:val="auto"/>
              </w:rPr>
            </w:pPr>
          </w:p>
        </w:tc>
        <w:tc>
          <w:tcPr>
            <w:tcW w:w="1580" w:type="dxa"/>
            <w:vAlign w:val="bottom"/>
            <w:tcBorders>
              <w:top w:val="single" w:sz="8" w:color="auto"/>
            </w:tcBorders>
          </w:tcPr>
          <w:p>
            <w:pPr>
              <w:jc w:val="right"/>
              <w:ind w:right="341"/>
              <w:spacing w:after="0"/>
              <w:rPr>
                <w:sz w:val="20"/>
                <w:szCs w:val="20"/>
                <w:color w:val="auto"/>
              </w:rPr>
            </w:pPr>
            <w:r>
              <w:rPr>
                <w:rFonts w:ascii="Times New Roman" w:cs="Times New Roman" w:eastAsia="Times New Roman" w:hAnsi="Times New Roman"/>
                <w:sz w:val="20"/>
                <w:szCs w:val="20"/>
                <w:color w:val="auto"/>
              </w:rPr>
              <w:t>4,256,253</w:t>
            </w:r>
          </w:p>
        </w:tc>
        <w:tc>
          <w:tcPr>
            <w:tcW w:w="1020" w:type="dxa"/>
            <w:vAlign w:val="bottom"/>
            <w:tcBorders>
              <w:top w:val="single" w:sz="8" w:color="auto"/>
            </w:tcBorders>
          </w:tcPr>
          <w:p>
            <w:pPr>
              <w:spacing w:after="0"/>
              <w:rPr>
                <w:sz w:val="22"/>
                <w:szCs w:val="22"/>
                <w:color w:val="auto"/>
              </w:rPr>
            </w:pPr>
          </w:p>
        </w:tc>
        <w:tc>
          <w:tcPr>
            <w:tcW w:w="2280" w:type="dxa"/>
            <w:vAlign w:val="bottom"/>
            <w:tcBorders>
              <w:top w:val="single" w:sz="8" w:color="auto"/>
              <w:right w:val="single" w:sz="8" w:color="auto"/>
            </w:tcBorders>
          </w:tcPr>
          <w:p>
            <w:pPr>
              <w:jc w:val="right"/>
              <w:ind w:right="921"/>
              <w:spacing w:after="0"/>
              <w:rPr>
                <w:sz w:val="20"/>
                <w:szCs w:val="20"/>
                <w:color w:val="auto"/>
              </w:rPr>
            </w:pPr>
            <w:r>
              <w:rPr>
                <w:rFonts w:ascii="Times New Roman" w:cs="Times New Roman" w:eastAsia="Times New Roman" w:hAnsi="Times New Roman"/>
                <w:sz w:val="20"/>
                <w:szCs w:val="20"/>
                <w:color w:val="auto"/>
              </w:rPr>
              <w:t>2,031,330</w:t>
            </w:r>
          </w:p>
        </w:tc>
      </w:tr>
      <w:tr>
        <w:trPr>
          <w:trHeight w:val="21"/>
        </w:trPr>
        <w:tc>
          <w:tcPr>
            <w:tcW w:w="27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r>
      <w:tr>
        <w:trPr>
          <w:trHeight w:val="485"/>
        </w:trPr>
        <w:tc>
          <w:tcPr>
            <w:tcW w:w="270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This item was approved.</w:t>
            </w:r>
          </w:p>
        </w:tc>
        <w:tc>
          <w:tcPr>
            <w:tcW w:w="6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80" w:type="dxa"/>
            <w:vAlign w:val="bottom"/>
          </w:tcPr>
          <w:p>
            <w:pPr>
              <w:spacing w:after="0"/>
              <w:rPr>
                <w:sz w:val="24"/>
                <w:szCs w:val="24"/>
                <w:color w:val="auto"/>
              </w:rPr>
            </w:pPr>
          </w:p>
        </w:tc>
      </w:tr>
    </w:tbl>
    <w:p>
      <w:pPr>
        <w:spacing w:after="0" w:line="228" w:lineRule="exact"/>
        <w:rPr>
          <w:sz w:val="20"/>
          <w:szCs w:val="20"/>
          <w:color w:val="auto"/>
        </w:rPr>
      </w:pPr>
    </w:p>
    <w:p>
      <w:pPr>
        <w:jc w:val="both"/>
        <w:ind w:left="880" w:right="219" w:hanging="320"/>
        <w:spacing w:after="0" w:line="254" w:lineRule="auto"/>
        <w:tabs>
          <w:tab w:leader="none" w:pos="88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Proposal regarding the ratification of Ernst &amp; Young LLP as the Company’s Independent Registered Public Accounting Firm for Fiscal Year 2026 and reelection of Ernst &amp; Young Ltd, Zurich, as the Company’s Auditor for a further one-year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3700145</wp:posOffset>
            </wp:positionH>
            <wp:positionV relativeFrom="paragraph">
              <wp:posOffset>210820</wp:posOffset>
            </wp:positionV>
            <wp:extent cx="8890" cy="3860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890" cy="386080"/>
                    </a:xfrm>
                    <a:prstGeom prst="rect">
                      <a:avLst/>
                    </a:prstGeom>
                    <a:noFill/>
                  </pic:spPr>
                </pic:pic>
              </a:graphicData>
            </a:graphic>
          </wp:anchor>
        </w:drawing>
      </w:r>
    </w:p>
    <w:p>
      <w:pPr>
        <w:spacing w:after="0" w:line="292" w:lineRule="exact"/>
        <w:rPr>
          <w:sz w:val="20"/>
          <w:szCs w:val="20"/>
          <w:color w:val="auto"/>
        </w:rPr>
      </w:pPr>
    </w:p>
    <w:tbl>
      <w:tblPr>
        <w:tblLayout w:type="fixed"/>
        <w:tblInd w:w="430" w:type="dxa"/>
        <w:tblCellMar>
          <w:top w:w="0" w:type="dxa"/>
          <w:left w:w="0" w:type="dxa"/>
          <w:bottom w:w="0" w:type="dxa"/>
          <w:right w:w="0" w:type="dxa"/>
        </w:tblCellMar>
      </w:tblPr>
      <w:tr>
        <w:trPr>
          <w:trHeight w:val="302"/>
        </w:trPr>
        <w:tc>
          <w:tcPr>
            <w:tcW w:w="2700" w:type="dxa"/>
            <w:vAlign w:val="bottom"/>
            <w:tcBorders>
              <w:top w:val="single" w:sz="8" w:color="auto"/>
              <w:left w:val="single" w:sz="8" w:color="auto"/>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20"/>
                <w:szCs w:val="20"/>
                <w:b w:val="1"/>
                <w:bCs w:val="1"/>
                <w:color w:val="auto"/>
                <w:w w:val="96"/>
              </w:rPr>
              <w:t>For</w:t>
            </w:r>
          </w:p>
        </w:tc>
        <w:tc>
          <w:tcPr>
            <w:tcW w:w="580" w:type="dxa"/>
            <w:vAlign w:val="bottom"/>
            <w:tcBorders>
              <w:top w:val="single" w:sz="8" w:color="auto"/>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20"/>
                <w:szCs w:val="20"/>
                <w:b w:val="1"/>
                <w:bCs w:val="1"/>
                <w:color w:val="auto"/>
              </w:rPr>
              <w:t>​​​</w:t>
            </w:r>
          </w:p>
        </w:tc>
        <w:tc>
          <w:tcPr>
            <w:tcW w:w="16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20"/>
                <w:szCs w:val="20"/>
                <w:b w:val="1"/>
                <w:bCs w:val="1"/>
                <w:color w:val="auto"/>
              </w:rPr>
              <w:t>Against</w:t>
            </w:r>
          </w:p>
        </w:tc>
        <w:tc>
          <w:tcPr>
            <w:tcW w:w="1000" w:type="dxa"/>
            <w:vAlign w:val="bottom"/>
            <w:tcBorders>
              <w:top w:val="single" w:sz="8" w:color="auto"/>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20"/>
                <w:szCs w:val="20"/>
                <w:b w:val="1"/>
                <w:bCs w:val="1"/>
                <w:color w:val="auto"/>
              </w:rPr>
              <w:t>​​​</w:t>
            </w:r>
          </w:p>
        </w:tc>
        <w:tc>
          <w:tcPr>
            <w:tcW w:w="2280" w:type="dxa"/>
            <w:vAlign w:val="bottom"/>
            <w:tcBorders>
              <w:top w:val="single" w:sz="8" w:color="auto"/>
              <w:bottom w:val="single" w:sz="8" w:color="CCEEFF"/>
              <w:right w:val="single" w:sz="8" w:color="auto"/>
            </w:tcBorders>
            <w:shd w:val="clear" w:color="auto" w:fill="CCEEFF"/>
          </w:tcPr>
          <w:p>
            <w:pPr>
              <w:jc w:val="center"/>
              <w:ind w:right="481"/>
              <w:spacing w:after="0"/>
              <w:rPr>
                <w:sz w:val="20"/>
                <w:szCs w:val="20"/>
                <w:color w:val="auto"/>
              </w:rPr>
            </w:pPr>
            <w:r>
              <w:rPr>
                <w:rFonts w:ascii="Times New Roman" w:cs="Times New Roman" w:eastAsia="Times New Roman" w:hAnsi="Times New Roman"/>
                <w:sz w:val="20"/>
                <w:szCs w:val="20"/>
                <w:b w:val="1"/>
                <w:bCs w:val="1"/>
                <w:color w:val="auto"/>
                <w:w w:val="98"/>
              </w:rPr>
              <w:t>Abstain</w:t>
            </w:r>
          </w:p>
        </w:tc>
      </w:tr>
      <w:tr>
        <w:trPr>
          <w:trHeight w:val="256"/>
        </w:trPr>
        <w:tc>
          <w:tcPr>
            <w:tcW w:w="2700" w:type="dxa"/>
            <w:vAlign w:val="bottom"/>
            <w:tcBorders>
              <w:top w:val="single" w:sz="8" w:color="auto"/>
              <w:left w:val="single" w:sz="8" w:color="auto"/>
              <w:right w:val="single" w:sz="8" w:color="auto"/>
            </w:tcBorders>
          </w:tcPr>
          <w:p>
            <w:pPr>
              <w:jc w:val="right"/>
              <w:ind w:right="761"/>
              <w:spacing w:after="0"/>
              <w:rPr>
                <w:sz w:val="20"/>
                <w:szCs w:val="20"/>
                <w:color w:val="auto"/>
              </w:rPr>
            </w:pPr>
            <w:r>
              <w:rPr>
                <w:rFonts w:ascii="Times New Roman" w:cs="Times New Roman" w:eastAsia="Times New Roman" w:hAnsi="Times New Roman"/>
                <w:sz w:val="20"/>
                <w:szCs w:val="20"/>
                <w:color w:val="auto"/>
              </w:rPr>
              <w:t>692,652,694</w:t>
            </w:r>
          </w:p>
        </w:tc>
        <w:tc>
          <w:tcPr>
            <w:tcW w:w="580" w:type="dxa"/>
            <w:vAlign w:val="bottom"/>
            <w:tcBorders>
              <w:top w:val="single" w:sz="8" w:color="auto"/>
            </w:tcBorders>
          </w:tcPr>
          <w:p>
            <w:pPr>
              <w:spacing w:after="0"/>
              <w:rPr>
                <w:sz w:val="22"/>
                <w:szCs w:val="22"/>
                <w:color w:val="auto"/>
              </w:rPr>
            </w:pPr>
          </w:p>
        </w:tc>
        <w:tc>
          <w:tcPr>
            <w:tcW w:w="1620" w:type="dxa"/>
            <w:vAlign w:val="bottom"/>
            <w:tcBorders>
              <w:top w:val="single" w:sz="8" w:color="auto"/>
            </w:tcBorders>
          </w:tcPr>
          <w:p>
            <w:pPr>
              <w:jc w:val="right"/>
              <w:ind w:right="301"/>
              <w:spacing w:after="0"/>
              <w:rPr>
                <w:sz w:val="20"/>
                <w:szCs w:val="20"/>
                <w:color w:val="auto"/>
              </w:rPr>
            </w:pPr>
            <w:r>
              <w:rPr>
                <w:rFonts w:ascii="Times New Roman" w:cs="Times New Roman" w:eastAsia="Times New Roman" w:hAnsi="Times New Roman"/>
                <w:sz w:val="20"/>
                <w:szCs w:val="20"/>
                <w:color w:val="auto"/>
              </w:rPr>
              <w:t>61,460,892</w:t>
            </w:r>
          </w:p>
        </w:tc>
        <w:tc>
          <w:tcPr>
            <w:tcW w:w="1000" w:type="dxa"/>
            <w:vAlign w:val="bottom"/>
            <w:tcBorders>
              <w:top w:val="single" w:sz="8" w:color="auto"/>
            </w:tcBorders>
          </w:tcPr>
          <w:p>
            <w:pPr>
              <w:spacing w:after="0"/>
              <w:rPr>
                <w:sz w:val="22"/>
                <w:szCs w:val="22"/>
                <w:color w:val="auto"/>
              </w:rPr>
            </w:pPr>
          </w:p>
        </w:tc>
        <w:tc>
          <w:tcPr>
            <w:tcW w:w="2280" w:type="dxa"/>
            <w:vAlign w:val="bottom"/>
            <w:tcBorders>
              <w:top w:val="single" w:sz="8" w:color="auto"/>
              <w:right w:val="single" w:sz="8" w:color="auto"/>
            </w:tcBorders>
          </w:tcPr>
          <w:p>
            <w:pPr>
              <w:jc w:val="right"/>
              <w:ind w:right="921"/>
              <w:spacing w:after="0"/>
              <w:rPr>
                <w:sz w:val="20"/>
                <w:szCs w:val="20"/>
                <w:color w:val="auto"/>
              </w:rPr>
            </w:pPr>
            <w:r>
              <w:rPr>
                <w:rFonts w:ascii="Times New Roman" w:cs="Times New Roman" w:eastAsia="Times New Roman" w:hAnsi="Times New Roman"/>
                <w:sz w:val="20"/>
                <w:szCs w:val="20"/>
                <w:color w:val="auto"/>
              </w:rPr>
              <w:t>1,145,744</w:t>
            </w:r>
          </w:p>
        </w:tc>
      </w:tr>
      <w:tr>
        <w:trPr>
          <w:trHeight w:val="21"/>
        </w:trPr>
        <w:tc>
          <w:tcPr>
            <w:tcW w:w="27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r>
      <w:tr>
        <w:trPr>
          <w:trHeight w:val="485"/>
        </w:trPr>
        <w:tc>
          <w:tcPr>
            <w:tcW w:w="270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This item was approved.</w:t>
            </w:r>
          </w:p>
        </w:tc>
        <w:tc>
          <w:tcPr>
            <w:tcW w:w="5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80" w:type="dxa"/>
            <w:vAlign w:val="bottom"/>
          </w:tcPr>
          <w:p>
            <w:pPr>
              <w:spacing w:after="0"/>
              <w:rPr>
                <w:sz w:val="24"/>
                <w:szCs w:val="24"/>
                <w:color w:val="auto"/>
              </w:rPr>
            </w:pPr>
          </w:p>
        </w:tc>
      </w:tr>
    </w:tbl>
    <w:p>
      <w:pPr>
        <w:spacing w:after="0" w:line="282" w:lineRule="exact"/>
        <w:rPr>
          <w:sz w:val="20"/>
          <w:szCs w:val="20"/>
          <w:color w:val="auto"/>
        </w:rPr>
      </w:pPr>
    </w:p>
    <w:p>
      <w:pPr>
        <w:ind w:left="880" w:right="239" w:hanging="320"/>
        <w:spacing w:after="0" w:line="269" w:lineRule="auto"/>
        <w:tabs>
          <w:tab w:leader="none" w:pos="88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Proposal regarding the advisory vote to approve Named Executive Officer compensation for Fiscal Year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201295</wp:posOffset>
            </wp:positionV>
            <wp:extent cx="8255" cy="3854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255" cy="385445"/>
                    </a:xfrm>
                    <a:prstGeom prst="rect">
                      <a:avLst/>
                    </a:prstGeom>
                    <a:noFill/>
                  </pic:spPr>
                </pic:pic>
              </a:graphicData>
            </a:graphic>
          </wp:anchor>
        </w:drawing>
      </w:r>
    </w:p>
    <w:p>
      <w:pPr>
        <w:spacing w:after="0" w:line="277" w:lineRule="exact"/>
        <w:rPr>
          <w:sz w:val="20"/>
          <w:szCs w:val="20"/>
          <w:color w:val="auto"/>
        </w:rPr>
      </w:pPr>
    </w:p>
    <w:tbl>
      <w:tblPr>
        <w:tblLayout w:type="fixed"/>
        <w:tblInd w:w="430" w:type="dxa"/>
        <w:tblCellMar>
          <w:top w:w="0" w:type="dxa"/>
          <w:left w:w="0" w:type="dxa"/>
          <w:bottom w:w="0" w:type="dxa"/>
          <w:right w:w="0" w:type="dxa"/>
        </w:tblCellMar>
      </w:tblPr>
      <w:tr>
        <w:trPr>
          <w:trHeight w:val="302"/>
        </w:trPr>
        <w:tc>
          <w:tcPr>
            <w:tcW w:w="2020" w:type="dxa"/>
            <w:vAlign w:val="bottom"/>
            <w:tcBorders>
              <w:top w:val="single" w:sz="8" w:color="auto"/>
              <w:left w:val="single" w:sz="8" w:color="auto"/>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20"/>
                <w:szCs w:val="20"/>
                <w:b w:val="1"/>
                <w:bCs w:val="1"/>
                <w:color w:val="auto"/>
                <w:w w:val="96"/>
              </w:rPr>
              <w:t>For</w:t>
            </w:r>
          </w:p>
        </w:tc>
        <w:tc>
          <w:tcPr>
            <w:tcW w:w="360" w:type="dxa"/>
            <w:vAlign w:val="bottom"/>
            <w:tcBorders>
              <w:top w:val="single" w:sz="8" w:color="auto"/>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20"/>
                <w:szCs w:val="20"/>
                <w:b w:val="1"/>
                <w:bCs w:val="1"/>
                <w:color w:val="auto"/>
              </w:rPr>
              <w:t>​​​</w:t>
            </w:r>
          </w:p>
        </w:tc>
        <w:tc>
          <w:tcPr>
            <w:tcW w:w="130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Against</w:t>
            </w:r>
          </w:p>
        </w:tc>
        <w:tc>
          <w:tcPr>
            <w:tcW w:w="600" w:type="dxa"/>
            <w:vAlign w:val="bottom"/>
            <w:tcBorders>
              <w:top w:val="single" w:sz="8" w:color="auto"/>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20"/>
                <w:szCs w:val="20"/>
                <w:b w:val="1"/>
                <w:bCs w:val="1"/>
                <w:color w:val="auto"/>
              </w:rPr>
              <w:t>​​​</w:t>
            </w:r>
          </w:p>
        </w:tc>
        <w:tc>
          <w:tcPr>
            <w:tcW w:w="1720" w:type="dxa"/>
            <w:vAlign w:val="bottom"/>
            <w:tcBorders>
              <w:top w:val="single" w:sz="8" w:color="auto"/>
              <w:bottom w:val="single" w:sz="8" w:color="CCEEFF"/>
              <w:right w:val="single" w:sz="8" w:color="auto"/>
            </w:tcBorders>
            <w:shd w:val="clear" w:color="auto" w:fill="CCEEFF"/>
          </w:tcPr>
          <w:p>
            <w:pPr>
              <w:jc w:val="center"/>
              <w:ind w:right="201"/>
              <w:spacing w:after="0"/>
              <w:rPr>
                <w:sz w:val="20"/>
                <w:szCs w:val="20"/>
                <w:color w:val="auto"/>
              </w:rPr>
            </w:pPr>
            <w:r>
              <w:rPr>
                <w:rFonts w:ascii="Times New Roman" w:cs="Times New Roman" w:eastAsia="Times New Roman" w:hAnsi="Times New Roman"/>
                <w:sz w:val="20"/>
                <w:szCs w:val="20"/>
                <w:b w:val="1"/>
                <w:bCs w:val="1"/>
                <w:color w:val="auto"/>
                <w:w w:val="98"/>
              </w:rPr>
              <w:t>Abstain</w:t>
            </w:r>
          </w:p>
        </w:tc>
        <w:tc>
          <w:tcPr>
            <w:tcW w:w="2180" w:type="dxa"/>
            <w:vAlign w:val="bottom"/>
            <w:tcBorders>
              <w:top w:val="single" w:sz="8" w:color="auto"/>
              <w:bottom w:val="single" w:sz="8" w:color="CCEEFF"/>
              <w:right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20"/>
                <w:szCs w:val="20"/>
                <w:b w:val="1"/>
                <w:bCs w:val="1"/>
                <w:color w:val="auto"/>
              </w:rPr>
              <w:t>​​​  Broker Non-Votes</w:t>
            </w:r>
          </w:p>
        </w:tc>
      </w:tr>
      <w:tr>
        <w:trPr>
          <w:trHeight w:val="256"/>
        </w:trPr>
        <w:tc>
          <w:tcPr>
            <w:tcW w:w="2020" w:type="dxa"/>
            <w:vAlign w:val="bottom"/>
            <w:tcBorders>
              <w:top w:val="single" w:sz="8" w:color="auto"/>
              <w:left w:val="single" w:sz="8" w:color="auto"/>
              <w:right w:val="single" w:sz="8" w:color="auto"/>
            </w:tcBorders>
          </w:tcPr>
          <w:p>
            <w:pPr>
              <w:jc w:val="right"/>
              <w:ind w:right="421"/>
              <w:spacing w:after="0"/>
              <w:rPr>
                <w:sz w:val="20"/>
                <w:szCs w:val="20"/>
                <w:color w:val="auto"/>
              </w:rPr>
            </w:pPr>
            <w:r>
              <w:rPr>
                <w:rFonts w:ascii="Times New Roman" w:cs="Times New Roman" w:eastAsia="Times New Roman" w:hAnsi="Times New Roman"/>
                <w:sz w:val="20"/>
                <w:szCs w:val="20"/>
                <w:color w:val="auto"/>
              </w:rPr>
              <w:t>486,932,557</w:t>
            </w:r>
          </w:p>
        </w:tc>
        <w:tc>
          <w:tcPr>
            <w:tcW w:w="36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tcPr>
          <w:p>
            <w:pPr>
              <w:jc w:val="right"/>
              <w:ind w:right="81"/>
              <w:spacing w:after="0"/>
              <w:rPr>
                <w:sz w:val="20"/>
                <w:szCs w:val="20"/>
                <w:color w:val="auto"/>
              </w:rPr>
            </w:pPr>
            <w:r>
              <w:rPr>
                <w:rFonts w:ascii="Times New Roman" w:cs="Times New Roman" w:eastAsia="Times New Roman" w:hAnsi="Times New Roman"/>
                <w:sz w:val="20"/>
                <w:szCs w:val="20"/>
                <w:color w:val="auto"/>
              </w:rPr>
              <w:t>102,138,948</w:t>
            </w:r>
          </w:p>
        </w:tc>
        <w:tc>
          <w:tcPr>
            <w:tcW w:w="600" w:type="dxa"/>
            <w:vAlign w:val="bottom"/>
            <w:tcBorders>
              <w:top w:val="single" w:sz="8" w:color="auto"/>
            </w:tcBorders>
          </w:tcPr>
          <w:p>
            <w:pPr>
              <w:spacing w:after="0"/>
              <w:rPr>
                <w:sz w:val="22"/>
                <w:szCs w:val="22"/>
                <w:color w:val="auto"/>
              </w:rPr>
            </w:pPr>
          </w:p>
        </w:tc>
        <w:tc>
          <w:tcPr>
            <w:tcW w:w="1720" w:type="dxa"/>
            <w:vAlign w:val="bottom"/>
            <w:tcBorders>
              <w:top w:val="single" w:sz="8" w:color="auto"/>
              <w:right w:val="single" w:sz="8" w:color="auto"/>
            </w:tcBorders>
          </w:tcPr>
          <w:p>
            <w:pPr>
              <w:jc w:val="right"/>
              <w:ind w:right="461"/>
              <w:spacing w:after="0"/>
              <w:rPr>
                <w:sz w:val="20"/>
                <w:szCs w:val="20"/>
                <w:color w:val="auto"/>
              </w:rPr>
            </w:pPr>
            <w:r>
              <w:rPr>
                <w:rFonts w:ascii="Times New Roman" w:cs="Times New Roman" w:eastAsia="Times New Roman" w:hAnsi="Times New Roman"/>
                <w:sz w:val="20"/>
                <w:szCs w:val="20"/>
                <w:color w:val="auto"/>
              </w:rPr>
              <w:t>39,903,082</w:t>
            </w:r>
          </w:p>
        </w:tc>
        <w:tc>
          <w:tcPr>
            <w:tcW w:w="2180" w:type="dxa"/>
            <w:vAlign w:val="bottom"/>
            <w:tcBorders>
              <w:top w:val="single" w:sz="8" w:color="auto"/>
              <w:right w:val="single" w:sz="8" w:color="auto"/>
            </w:tcBorders>
          </w:tcPr>
          <w:p>
            <w:pPr>
              <w:jc w:val="right"/>
              <w:ind w:right="441"/>
              <w:spacing w:after="0"/>
              <w:rPr>
                <w:sz w:val="20"/>
                <w:szCs w:val="20"/>
                <w:color w:val="auto"/>
              </w:rPr>
            </w:pPr>
            <w:r>
              <w:rPr>
                <w:rFonts w:ascii="Times New Roman" w:cs="Times New Roman" w:eastAsia="Times New Roman" w:hAnsi="Times New Roman"/>
                <w:sz w:val="20"/>
                <w:szCs w:val="20"/>
                <w:color w:val="auto"/>
              </w:rPr>
              <w:t>126,284,743</w:t>
            </w:r>
          </w:p>
        </w:tc>
      </w:tr>
      <w:tr>
        <w:trPr>
          <w:trHeight w:val="21"/>
        </w:trPr>
        <w:tc>
          <w:tcPr>
            <w:tcW w:w="20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c>
          <w:tcPr>
            <w:tcW w:w="2180" w:type="dxa"/>
            <w:vAlign w:val="bottom"/>
            <w:tcBorders>
              <w:bottom w:val="single" w:sz="8" w:color="auto"/>
              <w:right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This item was approved.</w:t>
      </w:r>
    </w:p>
    <w:p>
      <w:pPr>
        <w:spacing w:after="0" w:line="310" w:lineRule="exact"/>
        <w:rPr>
          <w:sz w:val="20"/>
          <w:szCs w:val="20"/>
          <w:color w:val="auto"/>
        </w:rPr>
      </w:pPr>
    </w:p>
    <w:p>
      <w:pPr>
        <w:jc w:val="both"/>
        <w:ind w:left="880" w:right="219" w:hanging="320"/>
        <w:spacing w:after="0" w:line="254" w:lineRule="auto"/>
        <w:tabs>
          <w:tab w:leader="none" w:pos="88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Proposal regarding the ratification of the maximum aggregate amount of compensation of the Board of Directors for the period between the 2026 Annual General Meeting and the 2027 Annual General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210820</wp:posOffset>
            </wp:positionV>
            <wp:extent cx="8255" cy="3860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255" cy="386080"/>
                    </a:xfrm>
                    <a:prstGeom prst="rect">
                      <a:avLst/>
                    </a:prstGeom>
                    <a:noFill/>
                  </pic:spPr>
                </pic:pic>
              </a:graphicData>
            </a:graphic>
          </wp:anchor>
        </w:drawing>
      </w:r>
    </w:p>
    <w:p>
      <w:pPr>
        <w:spacing w:after="0" w:line="292" w:lineRule="exact"/>
        <w:rPr>
          <w:sz w:val="20"/>
          <w:szCs w:val="20"/>
          <w:color w:val="auto"/>
        </w:rPr>
      </w:pPr>
    </w:p>
    <w:tbl>
      <w:tblPr>
        <w:tblLayout w:type="fixed"/>
        <w:tblInd w:w="430" w:type="dxa"/>
        <w:tblCellMar>
          <w:top w:w="0" w:type="dxa"/>
          <w:left w:w="0" w:type="dxa"/>
          <w:bottom w:w="0" w:type="dxa"/>
          <w:right w:w="0" w:type="dxa"/>
        </w:tblCellMar>
      </w:tblPr>
      <w:tr>
        <w:trPr>
          <w:trHeight w:val="302"/>
        </w:trPr>
        <w:tc>
          <w:tcPr>
            <w:tcW w:w="2020" w:type="dxa"/>
            <w:vAlign w:val="bottom"/>
            <w:tcBorders>
              <w:top w:val="single" w:sz="8" w:color="auto"/>
              <w:left w:val="single" w:sz="8" w:color="auto"/>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20"/>
                <w:szCs w:val="20"/>
                <w:b w:val="1"/>
                <w:bCs w:val="1"/>
                <w:color w:val="auto"/>
                <w:w w:val="96"/>
              </w:rPr>
              <w:t>For</w:t>
            </w:r>
          </w:p>
        </w:tc>
        <w:tc>
          <w:tcPr>
            <w:tcW w:w="380" w:type="dxa"/>
            <w:vAlign w:val="bottom"/>
            <w:tcBorders>
              <w:top w:val="single" w:sz="8" w:color="auto"/>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20"/>
                <w:szCs w:val="20"/>
                <w:b w:val="1"/>
                <w:bCs w:val="1"/>
                <w:color w:val="auto"/>
              </w:rPr>
              <w:t>​​​</w:t>
            </w:r>
          </w:p>
        </w:tc>
        <w:tc>
          <w:tcPr>
            <w:tcW w:w="12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Against</w:t>
            </w:r>
          </w:p>
        </w:tc>
        <w:tc>
          <w:tcPr>
            <w:tcW w:w="660" w:type="dxa"/>
            <w:vAlign w:val="bottom"/>
            <w:tcBorders>
              <w:top w:val="single" w:sz="8" w:color="auto"/>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20"/>
                <w:szCs w:val="20"/>
                <w:b w:val="1"/>
                <w:bCs w:val="1"/>
                <w:color w:val="auto"/>
              </w:rPr>
              <w:t>​​​</w:t>
            </w:r>
          </w:p>
        </w:tc>
        <w:tc>
          <w:tcPr>
            <w:tcW w:w="1680" w:type="dxa"/>
            <w:vAlign w:val="bottom"/>
            <w:tcBorders>
              <w:top w:val="single" w:sz="8" w:color="auto"/>
              <w:bottom w:val="single" w:sz="8" w:color="CCEEFF"/>
              <w:right w:val="single" w:sz="8" w:color="auto"/>
            </w:tcBorders>
            <w:shd w:val="clear" w:color="auto" w:fill="CCEEFF"/>
          </w:tcPr>
          <w:p>
            <w:pPr>
              <w:jc w:val="center"/>
              <w:ind w:right="241"/>
              <w:spacing w:after="0"/>
              <w:rPr>
                <w:sz w:val="20"/>
                <w:szCs w:val="20"/>
                <w:color w:val="auto"/>
              </w:rPr>
            </w:pPr>
            <w:r>
              <w:rPr>
                <w:rFonts w:ascii="Times New Roman" w:cs="Times New Roman" w:eastAsia="Times New Roman" w:hAnsi="Times New Roman"/>
                <w:sz w:val="20"/>
                <w:szCs w:val="20"/>
                <w:b w:val="1"/>
                <w:bCs w:val="1"/>
                <w:color w:val="auto"/>
                <w:w w:val="98"/>
              </w:rPr>
              <w:t>Abstain</w:t>
            </w:r>
          </w:p>
        </w:tc>
        <w:tc>
          <w:tcPr>
            <w:tcW w:w="2180" w:type="dxa"/>
            <w:vAlign w:val="bottom"/>
            <w:tcBorders>
              <w:top w:val="single" w:sz="8" w:color="auto"/>
              <w:bottom w:val="single" w:sz="8" w:color="CCEEFF"/>
              <w:right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20"/>
                <w:szCs w:val="20"/>
                <w:b w:val="1"/>
                <w:bCs w:val="1"/>
                <w:color w:val="auto"/>
              </w:rPr>
              <w:t>​​​  Broker Non-Votes</w:t>
            </w:r>
          </w:p>
        </w:tc>
      </w:tr>
      <w:tr>
        <w:trPr>
          <w:trHeight w:val="256"/>
        </w:trPr>
        <w:tc>
          <w:tcPr>
            <w:tcW w:w="2020" w:type="dxa"/>
            <w:vAlign w:val="bottom"/>
            <w:tcBorders>
              <w:top w:val="single" w:sz="8" w:color="auto"/>
              <w:left w:val="single" w:sz="8" w:color="auto"/>
              <w:right w:val="single" w:sz="8" w:color="auto"/>
            </w:tcBorders>
          </w:tcPr>
          <w:p>
            <w:pPr>
              <w:jc w:val="right"/>
              <w:ind w:right="421"/>
              <w:spacing w:after="0"/>
              <w:rPr>
                <w:sz w:val="20"/>
                <w:szCs w:val="20"/>
                <w:color w:val="auto"/>
              </w:rPr>
            </w:pPr>
            <w:r>
              <w:rPr>
                <w:rFonts w:ascii="Times New Roman" w:cs="Times New Roman" w:eastAsia="Times New Roman" w:hAnsi="Times New Roman"/>
                <w:sz w:val="20"/>
                <w:szCs w:val="20"/>
                <w:color w:val="auto"/>
              </w:rPr>
              <w:t>610,150,514</w:t>
            </w:r>
          </w:p>
        </w:tc>
        <w:tc>
          <w:tcPr>
            <w:tcW w:w="38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jc w:val="right"/>
              <w:ind w:right="121"/>
              <w:spacing w:after="0"/>
              <w:rPr>
                <w:sz w:val="20"/>
                <w:szCs w:val="20"/>
                <w:color w:val="auto"/>
              </w:rPr>
            </w:pPr>
            <w:r>
              <w:rPr>
                <w:rFonts w:ascii="Times New Roman" w:cs="Times New Roman" w:eastAsia="Times New Roman" w:hAnsi="Times New Roman"/>
                <w:sz w:val="20"/>
                <w:szCs w:val="20"/>
                <w:color w:val="auto"/>
              </w:rPr>
              <w:t>16,616,139</w:t>
            </w:r>
          </w:p>
        </w:tc>
        <w:tc>
          <w:tcPr>
            <w:tcW w:w="660" w:type="dxa"/>
            <w:vAlign w:val="bottom"/>
            <w:tcBorders>
              <w:top w:val="single" w:sz="8" w:color="auto"/>
            </w:tcBorders>
          </w:tcPr>
          <w:p>
            <w:pPr>
              <w:spacing w:after="0"/>
              <w:rPr>
                <w:sz w:val="22"/>
                <w:szCs w:val="22"/>
                <w:color w:val="auto"/>
              </w:rPr>
            </w:pPr>
          </w:p>
        </w:tc>
        <w:tc>
          <w:tcPr>
            <w:tcW w:w="1680" w:type="dxa"/>
            <w:vAlign w:val="bottom"/>
            <w:tcBorders>
              <w:top w:val="single" w:sz="8" w:color="auto"/>
              <w:right w:val="single" w:sz="8" w:color="auto"/>
            </w:tcBorders>
          </w:tcPr>
          <w:p>
            <w:pPr>
              <w:jc w:val="right"/>
              <w:ind w:right="521"/>
              <w:spacing w:after="0"/>
              <w:rPr>
                <w:sz w:val="20"/>
                <w:szCs w:val="20"/>
                <w:color w:val="auto"/>
              </w:rPr>
            </w:pPr>
            <w:r>
              <w:rPr>
                <w:rFonts w:ascii="Times New Roman" w:cs="Times New Roman" w:eastAsia="Times New Roman" w:hAnsi="Times New Roman"/>
                <w:sz w:val="20"/>
                <w:szCs w:val="20"/>
                <w:color w:val="auto"/>
              </w:rPr>
              <w:t>2,207,934</w:t>
            </w:r>
          </w:p>
        </w:tc>
        <w:tc>
          <w:tcPr>
            <w:tcW w:w="2180" w:type="dxa"/>
            <w:vAlign w:val="bottom"/>
            <w:tcBorders>
              <w:top w:val="single" w:sz="8" w:color="auto"/>
              <w:right w:val="single" w:sz="8" w:color="auto"/>
            </w:tcBorders>
          </w:tcPr>
          <w:p>
            <w:pPr>
              <w:jc w:val="right"/>
              <w:ind w:right="441"/>
              <w:spacing w:after="0"/>
              <w:rPr>
                <w:sz w:val="20"/>
                <w:szCs w:val="20"/>
                <w:color w:val="auto"/>
              </w:rPr>
            </w:pPr>
            <w:r>
              <w:rPr>
                <w:rFonts w:ascii="Times New Roman" w:cs="Times New Roman" w:eastAsia="Times New Roman" w:hAnsi="Times New Roman"/>
                <w:sz w:val="20"/>
                <w:szCs w:val="20"/>
                <w:color w:val="auto"/>
              </w:rPr>
              <w:t>126,284,743</w:t>
            </w:r>
          </w:p>
        </w:tc>
      </w:tr>
      <w:tr>
        <w:trPr>
          <w:trHeight w:val="21"/>
        </w:trPr>
        <w:tc>
          <w:tcPr>
            <w:tcW w:w="20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2180" w:type="dxa"/>
            <w:vAlign w:val="bottom"/>
            <w:tcBorders>
              <w:bottom w:val="single" w:sz="8" w:color="auto"/>
              <w:right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This item was approved.</w:t>
      </w:r>
    </w:p>
    <w:p>
      <w:pPr>
        <w:spacing w:after="0" w:line="310" w:lineRule="exact"/>
        <w:rPr>
          <w:sz w:val="20"/>
          <w:szCs w:val="20"/>
          <w:color w:val="auto"/>
        </w:rPr>
      </w:pPr>
    </w:p>
    <w:p>
      <w:pPr>
        <w:ind w:left="880" w:right="219" w:hanging="320"/>
        <w:spacing w:after="0" w:line="269" w:lineRule="auto"/>
        <w:tabs>
          <w:tab w:leader="none" w:pos="88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 Proposal regarding the ratification of the maximum aggregate amount of compensation of the Executive Management Team for Fiscal Year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167005</wp:posOffset>
            </wp:positionV>
            <wp:extent cx="8255" cy="3860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255" cy="386080"/>
                    </a:xfrm>
                    <a:prstGeom prst="rect">
                      <a:avLst/>
                    </a:prstGeom>
                    <a:noFill/>
                  </pic:spPr>
                </pic:pic>
              </a:graphicData>
            </a:graphic>
          </wp:anchor>
        </w:drawing>
      </w:r>
    </w:p>
    <w:p>
      <w:pPr>
        <w:spacing w:after="0" w:line="223" w:lineRule="exact"/>
        <w:rPr>
          <w:sz w:val="20"/>
          <w:szCs w:val="20"/>
          <w:color w:val="auto"/>
        </w:rPr>
      </w:pPr>
    </w:p>
    <w:tbl>
      <w:tblPr>
        <w:tblLayout w:type="fixed"/>
        <w:tblInd w:w="430" w:type="dxa"/>
        <w:tblCellMar>
          <w:top w:w="0" w:type="dxa"/>
          <w:left w:w="0" w:type="dxa"/>
          <w:bottom w:w="0" w:type="dxa"/>
          <w:right w:w="0" w:type="dxa"/>
        </w:tblCellMar>
      </w:tblPr>
      <w:tr>
        <w:trPr>
          <w:trHeight w:val="302"/>
        </w:trPr>
        <w:tc>
          <w:tcPr>
            <w:tcW w:w="2020" w:type="dxa"/>
            <w:vAlign w:val="bottom"/>
            <w:tcBorders>
              <w:top w:val="single" w:sz="8" w:color="auto"/>
              <w:left w:val="single" w:sz="8" w:color="auto"/>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20"/>
                <w:szCs w:val="20"/>
                <w:b w:val="1"/>
                <w:bCs w:val="1"/>
                <w:color w:val="auto"/>
                <w:w w:val="96"/>
              </w:rPr>
              <w:t>For</w:t>
            </w:r>
          </w:p>
        </w:tc>
        <w:tc>
          <w:tcPr>
            <w:tcW w:w="380" w:type="dxa"/>
            <w:vAlign w:val="bottom"/>
            <w:tcBorders>
              <w:top w:val="single" w:sz="8" w:color="auto"/>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20"/>
                <w:szCs w:val="20"/>
                <w:b w:val="1"/>
                <w:bCs w:val="1"/>
                <w:color w:val="auto"/>
              </w:rPr>
              <w:t>​​​</w:t>
            </w:r>
          </w:p>
        </w:tc>
        <w:tc>
          <w:tcPr>
            <w:tcW w:w="12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Against</w:t>
            </w:r>
          </w:p>
        </w:tc>
        <w:tc>
          <w:tcPr>
            <w:tcW w:w="660" w:type="dxa"/>
            <w:vAlign w:val="bottom"/>
            <w:tcBorders>
              <w:top w:val="single" w:sz="8" w:color="auto"/>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20"/>
                <w:szCs w:val="20"/>
                <w:b w:val="1"/>
                <w:bCs w:val="1"/>
                <w:color w:val="auto"/>
              </w:rPr>
              <w:t>​​​</w:t>
            </w:r>
          </w:p>
        </w:tc>
        <w:tc>
          <w:tcPr>
            <w:tcW w:w="1680" w:type="dxa"/>
            <w:vAlign w:val="bottom"/>
            <w:tcBorders>
              <w:top w:val="single" w:sz="8" w:color="auto"/>
              <w:bottom w:val="single" w:sz="8" w:color="CCEEFF"/>
              <w:right w:val="single" w:sz="8" w:color="auto"/>
            </w:tcBorders>
            <w:shd w:val="clear" w:color="auto" w:fill="CCEEFF"/>
          </w:tcPr>
          <w:p>
            <w:pPr>
              <w:jc w:val="center"/>
              <w:ind w:right="241"/>
              <w:spacing w:after="0"/>
              <w:rPr>
                <w:sz w:val="20"/>
                <w:szCs w:val="20"/>
                <w:color w:val="auto"/>
              </w:rPr>
            </w:pPr>
            <w:r>
              <w:rPr>
                <w:rFonts w:ascii="Times New Roman" w:cs="Times New Roman" w:eastAsia="Times New Roman" w:hAnsi="Times New Roman"/>
                <w:sz w:val="20"/>
                <w:szCs w:val="20"/>
                <w:b w:val="1"/>
                <w:bCs w:val="1"/>
                <w:color w:val="auto"/>
                <w:w w:val="98"/>
              </w:rPr>
              <w:t>Abstain</w:t>
            </w:r>
          </w:p>
        </w:tc>
        <w:tc>
          <w:tcPr>
            <w:tcW w:w="2180" w:type="dxa"/>
            <w:vAlign w:val="bottom"/>
            <w:tcBorders>
              <w:top w:val="single" w:sz="8" w:color="auto"/>
              <w:bottom w:val="single" w:sz="8" w:color="CCEEFF"/>
              <w:right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20"/>
                <w:szCs w:val="20"/>
                <w:b w:val="1"/>
                <w:bCs w:val="1"/>
                <w:color w:val="auto"/>
              </w:rPr>
              <w:t>​​​  Broker Non-Votes</w:t>
            </w:r>
          </w:p>
        </w:tc>
      </w:tr>
      <w:tr>
        <w:trPr>
          <w:trHeight w:val="256"/>
        </w:trPr>
        <w:tc>
          <w:tcPr>
            <w:tcW w:w="2020" w:type="dxa"/>
            <w:vAlign w:val="bottom"/>
            <w:tcBorders>
              <w:top w:val="single" w:sz="8" w:color="auto"/>
              <w:left w:val="single" w:sz="8" w:color="auto"/>
              <w:right w:val="single" w:sz="8" w:color="auto"/>
            </w:tcBorders>
          </w:tcPr>
          <w:p>
            <w:pPr>
              <w:jc w:val="right"/>
              <w:ind w:right="421"/>
              <w:spacing w:after="0"/>
              <w:rPr>
                <w:sz w:val="20"/>
                <w:szCs w:val="20"/>
                <w:color w:val="auto"/>
              </w:rPr>
            </w:pPr>
            <w:r>
              <w:rPr>
                <w:rFonts w:ascii="Times New Roman" w:cs="Times New Roman" w:eastAsia="Times New Roman" w:hAnsi="Times New Roman"/>
                <w:sz w:val="20"/>
                <w:szCs w:val="20"/>
                <w:color w:val="auto"/>
              </w:rPr>
              <w:t>608,443,687</w:t>
            </w:r>
          </w:p>
        </w:tc>
        <w:tc>
          <w:tcPr>
            <w:tcW w:w="38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jc w:val="right"/>
              <w:ind w:right="121"/>
              <w:spacing w:after="0"/>
              <w:rPr>
                <w:sz w:val="20"/>
                <w:szCs w:val="20"/>
                <w:color w:val="auto"/>
              </w:rPr>
            </w:pPr>
            <w:r>
              <w:rPr>
                <w:rFonts w:ascii="Times New Roman" w:cs="Times New Roman" w:eastAsia="Times New Roman" w:hAnsi="Times New Roman"/>
                <w:sz w:val="20"/>
                <w:szCs w:val="20"/>
                <w:color w:val="auto"/>
              </w:rPr>
              <w:t>18,272,663</w:t>
            </w:r>
          </w:p>
        </w:tc>
        <w:tc>
          <w:tcPr>
            <w:tcW w:w="660" w:type="dxa"/>
            <w:vAlign w:val="bottom"/>
            <w:tcBorders>
              <w:top w:val="single" w:sz="8" w:color="auto"/>
            </w:tcBorders>
          </w:tcPr>
          <w:p>
            <w:pPr>
              <w:spacing w:after="0"/>
              <w:rPr>
                <w:sz w:val="22"/>
                <w:szCs w:val="22"/>
                <w:color w:val="auto"/>
              </w:rPr>
            </w:pPr>
          </w:p>
        </w:tc>
        <w:tc>
          <w:tcPr>
            <w:tcW w:w="1680" w:type="dxa"/>
            <w:vAlign w:val="bottom"/>
            <w:tcBorders>
              <w:top w:val="single" w:sz="8" w:color="auto"/>
              <w:right w:val="single" w:sz="8" w:color="auto"/>
            </w:tcBorders>
          </w:tcPr>
          <w:p>
            <w:pPr>
              <w:jc w:val="right"/>
              <w:ind w:right="521"/>
              <w:spacing w:after="0"/>
              <w:rPr>
                <w:sz w:val="20"/>
                <w:szCs w:val="20"/>
                <w:color w:val="auto"/>
              </w:rPr>
            </w:pPr>
            <w:r>
              <w:rPr>
                <w:rFonts w:ascii="Times New Roman" w:cs="Times New Roman" w:eastAsia="Times New Roman" w:hAnsi="Times New Roman"/>
                <w:sz w:val="20"/>
                <w:szCs w:val="20"/>
                <w:color w:val="auto"/>
              </w:rPr>
              <w:t>2,258,237</w:t>
            </w:r>
          </w:p>
        </w:tc>
        <w:tc>
          <w:tcPr>
            <w:tcW w:w="2180" w:type="dxa"/>
            <w:vAlign w:val="bottom"/>
            <w:tcBorders>
              <w:top w:val="single" w:sz="8" w:color="auto"/>
              <w:right w:val="single" w:sz="8" w:color="auto"/>
            </w:tcBorders>
          </w:tcPr>
          <w:p>
            <w:pPr>
              <w:jc w:val="right"/>
              <w:ind w:right="441"/>
              <w:spacing w:after="0"/>
              <w:rPr>
                <w:sz w:val="20"/>
                <w:szCs w:val="20"/>
                <w:color w:val="auto"/>
              </w:rPr>
            </w:pPr>
            <w:r>
              <w:rPr>
                <w:rFonts w:ascii="Times New Roman" w:cs="Times New Roman" w:eastAsia="Times New Roman" w:hAnsi="Times New Roman"/>
                <w:sz w:val="20"/>
                <w:szCs w:val="20"/>
                <w:color w:val="auto"/>
              </w:rPr>
              <w:t>126,284,743</w:t>
            </w:r>
          </w:p>
        </w:tc>
      </w:tr>
      <w:tr>
        <w:trPr>
          <w:trHeight w:val="21"/>
        </w:trPr>
        <w:tc>
          <w:tcPr>
            <w:tcW w:w="20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2180" w:type="dxa"/>
            <w:vAlign w:val="bottom"/>
            <w:tcBorders>
              <w:bottom w:val="single" w:sz="8" w:color="auto"/>
              <w:right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This item was approved.</w:t>
      </w:r>
    </w:p>
    <w:p>
      <w:pPr>
        <w:spacing w:after="0" w:line="229" w:lineRule="exact"/>
        <w:rPr>
          <w:sz w:val="20"/>
          <w:szCs w:val="20"/>
          <w:color w:val="auto"/>
        </w:rPr>
      </w:pPr>
    </w:p>
    <w:p>
      <w:pPr>
        <w:ind w:left="200" w:right="379"/>
        <w:spacing w:after="0" w:line="254" w:lineRule="auto"/>
        <w:rPr>
          <w:sz w:val="20"/>
          <w:szCs w:val="20"/>
          <w:color w:val="auto"/>
        </w:rPr>
      </w:pPr>
      <w:r>
        <w:rPr>
          <w:rFonts w:ascii="Times New Roman" w:cs="Times New Roman" w:eastAsia="Times New Roman" w:hAnsi="Times New Roman"/>
          <w:sz w:val="20"/>
          <w:szCs w:val="20"/>
          <w:color w:val="auto"/>
        </w:rPr>
        <w:t>For information regarding the applicable quorum and vote standard required to vote upon and pass each matter described in this Item 5.07, please refer to the sections of the Company’s definitive proxy statement for the AGM, under the headings: “Quorum” and “Votes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330835</wp:posOffset>
            </wp:positionV>
            <wp:extent cx="545211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5" w:name="page6"/>
    <w:bookmarkEnd w:id="5"/>
    <w:p>
      <w:pPr>
        <w:ind w:left="20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Item 9.01</w:t>
      </w:r>
      <w:r>
        <w:rPr>
          <w:sz w:val="20"/>
          <w:szCs w:val="20"/>
          <w:color w:val="auto"/>
        </w:rPr>
        <w:tab/>
      </w:r>
      <w:r>
        <w:rPr>
          <w:rFonts w:ascii="Times New Roman" w:cs="Times New Roman" w:eastAsia="Times New Roman" w:hAnsi="Times New Roman"/>
          <w:sz w:val="21"/>
          <w:szCs w:val="21"/>
          <w:b w:val="1"/>
          <w:bCs w:val="1"/>
          <w:color w:val="auto"/>
        </w:rPr>
        <w:t>Financial Statements and Exhibits.</w:t>
      </w:r>
    </w:p>
    <w:p>
      <w:pPr>
        <w:spacing w:after="0" w:line="238" w:lineRule="exact"/>
        <w:rPr>
          <w:sz w:val="20"/>
          <w:szCs w:val="20"/>
          <w:color w:val="auto"/>
        </w:rPr>
      </w:pPr>
    </w:p>
    <w:tbl>
      <w:tblPr>
        <w:tblLayout w:type="fixed"/>
        <w:tblInd w:w="200" w:type="dxa"/>
        <w:tblCellMar>
          <w:top w:w="0" w:type="dxa"/>
          <w:left w:w="0" w:type="dxa"/>
          <w:bottom w:w="0" w:type="dxa"/>
          <w:right w:w="0" w:type="dxa"/>
        </w:tblCellMar>
      </w:tblPr>
      <w:tr>
        <w:trPr>
          <w:trHeight w:val="282"/>
        </w:trPr>
        <w:tc>
          <w:tcPr>
            <w:tcW w:w="3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w:t>
            </w:r>
          </w:p>
        </w:tc>
        <w:tc>
          <w:tcPr>
            <w:tcW w:w="8280" w:type="dxa"/>
            <w:vAlign w:val="bottom"/>
            <w:gridSpan w:val="5"/>
          </w:tcPr>
          <w:p>
            <w:pPr>
              <w:ind w:left="40"/>
              <w:spacing w:after="0"/>
              <w:rPr>
                <w:sz w:val="20"/>
                <w:szCs w:val="20"/>
                <w:color w:val="auto"/>
              </w:rPr>
            </w:pPr>
            <w:r>
              <w:rPr>
                <w:rFonts w:ascii="Times New Roman" w:cs="Times New Roman" w:eastAsia="Times New Roman" w:hAnsi="Times New Roman"/>
                <w:sz w:val="22"/>
                <w:szCs w:val="22"/>
                <w:color w:val="auto"/>
              </w:rPr>
              <w:t>Exhibits.</w:t>
            </w:r>
          </w:p>
        </w:tc>
      </w:tr>
      <w:tr>
        <w:trPr>
          <w:trHeight w:val="407"/>
        </w:trPr>
        <w:tc>
          <w:tcPr>
            <w:tcW w:w="860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Exhibit No</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21"/>
                <w:szCs w:val="21"/>
                <w:color w:val="auto"/>
              </w:rPr>
              <w:t>​​​</w:t>
            </w:r>
            <w:r>
              <w:rPr>
                <w:rFonts w:ascii="Times New Roman" w:cs="Times New Roman" w:eastAsia="Times New Roman" w:hAnsi="Times New Roman"/>
                <w:sz w:val="14"/>
                <w:szCs w:val="14"/>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7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r>
      <w:tr>
        <w:trPr>
          <w:trHeight w:val="425"/>
        </w:trPr>
        <w:tc>
          <w:tcPr>
            <w:tcW w:w="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3.1</w:t>
            </w: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40" w:type="dxa"/>
            <w:vAlign w:val="bottom"/>
            <w:gridSpan w:val="3"/>
          </w:tcPr>
          <w:p>
            <w:pPr>
              <w:spacing w:after="0"/>
              <w:rPr>
                <w:sz w:val="20"/>
                <w:szCs w:val="20"/>
                <w:color w:val="auto"/>
              </w:rPr>
            </w:pPr>
            <w:r>
              <w:rPr>
                <w:rFonts w:ascii="Times New Roman" w:cs="Times New Roman" w:eastAsia="Times New Roman" w:hAnsi="Times New Roman"/>
                <w:sz w:val="20"/>
                <w:szCs w:val="20"/>
                <w:color w:val="0000EE"/>
              </w:rPr>
              <w:t>Articles of Association of Transocean Ltd., amended as of May 22, 2026</w:t>
            </w:r>
          </w:p>
        </w:tc>
      </w:tr>
      <w:tr>
        <w:trPr>
          <w:trHeight w:val="20"/>
        </w:trPr>
        <w:tc>
          <w:tcPr>
            <w:tcW w:w="3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7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23"/>
        </w:trPr>
        <w:tc>
          <w:tcPr>
            <w:tcW w:w="32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3.2</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80" w:type="dxa"/>
            <w:vAlign w:val="bottom"/>
            <w:tcBorders>
              <w:bottom w:val="single" w:sz="8" w:color="0000EE"/>
            </w:tcBorders>
            <w:gridSpan w:val="2"/>
          </w:tcPr>
          <w:p>
            <w:pPr>
              <w:spacing w:after="0" w:line="223" w:lineRule="exact"/>
              <w:rPr>
                <w:sz w:val="20"/>
                <w:szCs w:val="20"/>
                <w:color w:val="auto"/>
              </w:rPr>
            </w:pPr>
            <w:r>
              <w:rPr>
                <w:rFonts w:ascii="Times New Roman" w:cs="Times New Roman" w:eastAsia="Times New Roman" w:hAnsi="Times New Roman"/>
                <w:sz w:val="20"/>
                <w:szCs w:val="20"/>
                <w:color w:val="0000EE"/>
                <w:w w:val="98"/>
              </w:rPr>
              <w:t>Organizational Regulations, as amended, to be effective as of July 1, 2026</w:t>
            </w:r>
          </w:p>
        </w:tc>
        <w:tc>
          <w:tcPr>
            <w:tcW w:w="1760" w:type="dxa"/>
            <w:vAlign w:val="bottom"/>
          </w:tcPr>
          <w:p>
            <w:pPr>
              <w:spacing w:after="0"/>
              <w:rPr>
                <w:sz w:val="19"/>
                <w:szCs w:val="19"/>
                <w:color w:val="auto"/>
              </w:rPr>
            </w:pPr>
          </w:p>
        </w:tc>
      </w:tr>
    </w:tbl>
    <w:p>
      <w:pPr>
        <w:spacing w:after="0" w:line="18" w:lineRule="exact"/>
        <w:rPr>
          <w:sz w:val="20"/>
          <w:szCs w:val="20"/>
          <w:color w:val="auto"/>
        </w:rPr>
      </w:pPr>
    </w:p>
    <w:p>
      <w:pPr>
        <w:ind w:left="1160" w:right="639" w:hanging="951"/>
        <w:spacing w:after="0" w:line="250" w:lineRule="auto"/>
        <w:tabs>
          <w:tab w:leader="none" w:pos="116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Interactive data files pursuant to Rule 405 of Regulation S-T formatted in Inline Extensible Business Reporting Language</w:t>
      </w:r>
    </w:p>
    <w:p>
      <w:pPr>
        <w:spacing w:after="0" w:line="2" w:lineRule="exact"/>
        <w:rPr>
          <w:sz w:val="20"/>
          <w:szCs w:val="20"/>
          <w:color w:val="auto"/>
        </w:rPr>
      </w:pPr>
    </w:p>
    <w:p>
      <w:pPr>
        <w:ind w:left="200"/>
        <w:spacing w:after="0"/>
        <w:tabs>
          <w:tab w:leader="none" w:pos="1140" w:val="left"/>
        </w:tabs>
        <w:rPr>
          <w:sz w:val="20"/>
          <w:szCs w:val="20"/>
          <w:color w:val="auto"/>
        </w:rPr>
      </w:pPr>
      <w:r>
        <w:rPr>
          <w:rFonts w:ascii="Times New Roman" w:cs="Times New Roman" w:eastAsia="Times New Roman" w:hAnsi="Times New Roman"/>
          <w:sz w:val="20"/>
          <w:szCs w:val="20"/>
          <w:color w:val="auto"/>
        </w:rPr>
        <w:t>104</w:t>
      </w:r>
      <w:r>
        <w:rPr>
          <w:sz w:val="20"/>
          <w:szCs w:val="20"/>
          <w:color w:val="auto"/>
        </w:rPr>
        <w:tab/>
      </w:r>
      <w:r>
        <w:rPr>
          <w:rFonts w:ascii="Times New Roman" w:cs="Times New Roman" w:eastAsia="Times New Roman" w:hAnsi="Times New Roman"/>
          <w:sz w:val="20"/>
          <w:szCs w:val="20"/>
          <w:color w:val="auto"/>
        </w:rPr>
        <w:t>Cover Page Interactive Data File (formatted as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634365</wp:posOffset>
            </wp:positionV>
            <wp:extent cx="545211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11" w:lineRule="exact"/>
        <w:rPr>
          <w:sz w:val="20"/>
          <w:szCs w:val="20"/>
          <w:color w:val="auto"/>
        </w:rPr>
      </w:pPr>
    </w:p>
    <w:p>
      <w:pPr>
        <w:ind w:left="200" w:right="219" w:firstLine="667"/>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hereunto duly authorized.</w:t>
      </w:r>
    </w:p>
    <w:p>
      <w:pPr>
        <w:spacing w:after="0" w:line="388" w:lineRule="exact"/>
        <w:rPr>
          <w:sz w:val="20"/>
          <w:szCs w:val="20"/>
          <w:color w:val="auto"/>
        </w:rPr>
      </w:pPr>
    </w:p>
    <w:tbl>
      <w:tblPr>
        <w:tblLayout w:type="fixed"/>
        <w:tblInd w:w="220" w:type="dxa"/>
        <w:tblCellMar>
          <w:top w:w="0" w:type="dxa"/>
          <w:left w:w="0" w:type="dxa"/>
          <w:bottom w:w="0" w:type="dxa"/>
          <w:right w:w="0" w:type="dxa"/>
        </w:tblCellMar>
      </w:tblPr>
      <w:tr>
        <w:trPr>
          <w:trHeight w:val="282"/>
        </w:trPr>
        <w:tc>
          <w:tcPr>
            <w:tcW w:w="3040" w:type="dxa"/>
            <w:vAlign w:val="bottom"/>
          </w:tcPr>
          <w:p>
            <w:pPr>
              <w:spacing w:after="0"/>
              <w:rPr>
                <w:sz w:val="24"/>
                <w:szCs w:val="24"/>
                <w:color w:val="auto"/>
              </w:rPr>
            </w:pPr>
          </w:p>
        </w:tc>
        <w:tc>
          <w:tcPr>
            <w:tcW w:w="5540" w:type="dxa"/>
            <w:vAlign w:val="bottom"/>
            <w:gridSpan w:val="2"/>
          </w:tcPr>
          <w:p>
            <w:pPr>
              <w:ind w:left="1320"/>
              <w:spacing w:after="0"/>
              <w:rPr>
                <w:sz w:val="20"/>
                <w:szCs w:val="20"/>
                <w:color w:val="auto"/>
              </w:rPr>
            </w:pPr>
            <w:r>
              <w:rPr>
                <w:rFonts w:ascii="Times New Roman" w:cs="Times New Roman" w:eastAsia="Times New Roman" w:hAnsi="Times New Roman"/>
                <w:sz w:val="22"/>
                <w:szCs w:val="22"/>
                <w:color w:val="auto"/>
              </w:rPr>
              <w:t>TRANSOCEAN LTD.</w:t>
            </w:r>
          </w:p>
        </w:tc>
      </w:tr>
      <w:tr>
        <w:trPr>
          <w:trHeight w:val="717"/>
        </w:trPr>
        <w:tc>
          <w:tcPr>
            <w:tcW w:w="3040" w:type="dxa"/>
            <w:vAlign w:val="bottom"/>
          </w:tcPr>
          <w:p>
            <w:pPr>
              <w:spacing w:after="0"/>
              <w:rPr>
                <w:sz w:val="20"/>
                <w:szCs w:val="20"/>
                <w:color w:val="auto"/>
              </w:rPr>
            </w:pPr>
            <w:r>
              <w:rPr>
                <w:rFonts w:ascii="Times New Roman" w:cs="Times New Roman" w:eastAsia="Times New Roman" w:hAnsi="Times New Roman"/>
                <w:sz w:val="22"/>
                <w:szCs w:val="22"/>
                <w:color w:val="auto"/>
              </w:rPr>
              <w:t>Date: May 26, 2026</w:t>
            </w:r>
          </w:p>
        </w:tc>
        <w:tc>
          <w:tcPr>
            <w:tcW w:w="5540" w:type="dxa"/>
            <w:vAlign w:val="bottom"/>
            <w:gridSpan w:val="2"/>
          </w:tcPr>
          <w:p>
            <w:pPr>
              <w:ind w:left="1320"/>
              <w:spacing w:after="0"/>
              <w:rPr>
                <w:sz w:val="20"/>
                <w:szCs w:val="20"/>
                <w:color w:val="auto"/>
              </w:rPr>
            </w:pPr>
            <w:r>
              <w:rPr>
                <w:rFonts w:ascii="Times New Roman" w:cs="Times New Roman" w:eastAsia="Times New Roman" w:hAnsi="Times New Roman"/>
                <w:sz w:val="22"/>
                <w:szCs w:val="22"/>
                <w:color w:val="auto"/>
              </w:rPr>
              <w:t>By:/s/ Debra Kupferman</w:t>
            </w:r>
          </w:p>
        </w:tc>
      </w:tr>
      <w:tr>
        <w:trPr>
          <w:trHeight w:val="209"/>
        </w:trPr>
        <w:tc>
          <w:tcPr>
            <w:tcW w:w="30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900" w:type="dxa"/>
            <w:vAlign w:val="bottom"/>
            <w:tcBorders>
              <w:top w:val="single" w:sz="8" w:color="auto"/>
            </w:tcBorders>
          </w:tcPr>
          <w:p>
            <w:pPr>
              <w:spacing w:after="0" w:line="209" w:lineRule="exact"/>
              <w:rPr>
                <w:sz w:val="20"/>
                <w:szCs w:val="20"/>
                <w:color w:val="auto"/>
              </w:rPr>
            </w:pPr>
            <w:r>
              <w:rPr>
                <w:rFonts w:ascii="Times New Roman" w:cs="Times New Roman" w:eastAsia="Times New Roman" w:hAnsi="Times New Roman"/>
                <w:sz w:val="22"/>
                <w:szCs w:val="22"/>
                <w:color w:val="auto"/>
              </w:rPr>
              <w:t>Debra Kupferman</w:t>
            </w:r>
          </w:p>
        </w:tc>
      </w:tr>
      <w:tr>
        <w:trPr>
          <w:trHeight w:val="282"/>
        </w:trPr>
        <w:tc>
          <w:tcPr>
            <w:tcW w:w="30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22"/>
                <w:szCs w:val="22"/>
                <w:color w:val="auto"/>
              </w:rPr>
              <w:t>Authorized Person</w:t>
            </w:r>
          </w:p>
        </w:tc>
      </w:tr>
      <w:tr>
        <w:trPr>
          <w:trHeight w:val="1169"/>
        </w:trPr>
        <w:tc>
          <w:tcPr>
            <w:tcW w:w="30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08" w:right="1440"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21"/>
          <w:szCs w:val="2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7300"/>
        <w:spacing w:after="0"/>
        <w:rPr>
          <w:sz w:val="20"/>
          <w:szCs w:val="20"/>
          <w:color w:val="auto"/>
        </w:rPr>
      </w:pPr>
      <w:r>
        <w:rPr>
          <w:rFonts w:ascii="Arial" w:cs="Arial" w:eastAsia="Arial" w:hAnsi="Arial"/>
          <w:sz w:val="20"/>
          <w:szCs w:val="20"/>
          <w:b w:val="1"/>
          <w:bCs w:val="1"/>
          <w:color w:val="auto"/>
        </w:rPr>
        <w:t>Statuten</w:t>
      </w:r>
    </w:p>
    <w:p>
      <w:pPr>
        <w:spacing w:after="0" w:line="94" w:lineRule="exact"/>
        <w:rPr>
          <w:sz w:val="20"/>
          <w:szCs w:val="20"/>
          <w:color w:val="auto"/>
        </w:rPr>
      </w:pPr>
    </w:p>
    <w:p>
      <w:pPr>
        <w:ind w:left="7300"/>
        <w:spacing w:after="0"/>
        <w:rPr>
          <w:sz w:val="20"/>
          <w:szCs w:val="20"/>
          <w:color w:val="auto"/>
        </w:rPr>
      </w:pPr>
      <w:r>
        <w:rPr>
          <w:rFonts w:ascii="Arial" w:cs="Arial" w:eastAsia="Arial" w:hAnsi="Arial"/>
          <w:sz w:val="20"/>
          <w:szCs w:val="20"/>
          <w:b w:val="1"/>
          <w:bCs w:val="1"/>
          <w:color w:val="auto"/>
        </w:rPr>
        <w:t>von Transocean Ltd.</w:t>
      </w:r>
    </w:p>
    <w:p>
      <w:pPr>
        <w:spacing w:after="0" w:line="99"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vom 22. Mai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7300"/>
        <w:spacing w:after="0"/>
        <w:rPr>
          <w:sz w:val="20"/>
          <w:szCs w:val="20"/>
          <w:color w:val="auto"/>
        </w:rPr>
      </w:pPr>
      <w:r>
        <w:rPr>
          <w:rFonts w:ascii="Arial" w:cs="Arial" w:eastAsia="Arial" w:hAnsi="Arial"/>
          <w:sz w:val="20"/>
          <w:szCs w:val="20"/>
          <w:b w:val="1"/>
          <w:bCs w:val="1"/>
          <w:color w:val="auto"/>
        </w:rPr>
        <w:t>Articles of Association</w:t>
      </w:r>
    </w:p>
    <w:p>
      <w:pPr>
        <w:spacing w:after="0" w:line="94" w:lineRule="exact"/>
        <w:rPr>
          <w:sz w:val="20"/>
          <w:szCs w:val="20"/>
          <w:color w:val="auto"/>
        </w:rPr>
      </w:pPr>
    </w:p>
    <w:p>
      <w:pPr>
        <w:ind w:left="7300"/>
        <w:spacing w:after="0"/>
        <w:rPr>
          <w:sz w:val="20"/>
          <w:szCs w:val="20"/>
          <w:color w:val="auto"/>
        </w:rPr>
      </w:pPr>
      <w:r>
        <w:rPr>
          <w:rFonts w:ascii="Arial" w:cs="Arial" w:eastAsia="Arial" w:hAnsi="Arial"/>
          <w:sz w:val="20"/>
          <w:szCs w:val="20"/>
          <w:b w:val="1"/>
          <w:bCs w:val="1"/>
          <w:color w:val="auto"/>
        </w:rPr>
        <w:t>of</w:t>
      </w:r>
    </w:p>
    <w:p>
      <w:pPr>
        <w:spacing w:after="0" w:line="94" w:lineRule="exact"/>
        <w:rPr>
          <w:sz w:val="20"/>
          <w:szCs w:val="20"/>
          <w:color w:val="auto"/>
        </w:rPr>
      </w:pPr>
    </w:p>
    <w:p>
      <w:pPr>
        <w:ind w:left="7300"/>
        <w:spacing w:after="0"/>
        <w:rPr>
          <w:sz w:val="20"/>
          <w:szCs w:val="20"/>
          <w:color w:val="auto"/>
        </w:rPr>
      </w:pPr>
      <w:r>
        <w:rPr>
          <w:rFonts w:ascii="Arial" w:cs="Arial" w:eastAsia="Arial" w:hAnsi="Arial"/>
          <w:sz w:val="20"/>
          <w:szCs w:val="20"/>
          <w:b w:val="1"/>
          <w:bCs w:val="1"/>
          <w:color w:val="auto"/>
        </w:rPr>
        <w:t>Transocean Ltd.</w:t>
      </w:r>
    </w:p>
    <w:p>
      <w:pPr>
        <w:spacing w:after="0" w:line="101" w:lineRule="exact"/>
        <w:rPr>
          <w:sz w:val="20"/>
          <w:szCs w:val="20"/>
          <w:color w:val="auto"/>
        </w:rPr>
      </w:pPr>
    </w:p>
    <w:p>
      <w:pPr>
        <w:ind w:left="7300"/>
        <w:spacing w:after="0"/>
        <w:rPr>
          <w:sz w:val="20"/>
          <w:szCs w:val="20"/>
          <w:color w:val="auto"/>
        </w:rPr>
      </w:pPr>
      <w:r>
        <w:rPr>
          <w:rFonts w:ascii="Arial" w:cs="Arial" w:eastAsia="Arial" w:hAnsi="Arial"/>
          <w:sz w:val="18"/>
          <w:szCs w:val="18"/>
          <w:i w:val="1"/>
          <w:iCs w:val="1"/>
          <w:color w:val="auto"/>
        </w:rPr>
        <w:t>as of May 22,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-225425</wp:posOffset>
            </wp:positionH>
            <wp:positionV relativeFrom="paragraph">
              <wp:posOffset>1104900</wp:posOffset>
            </wp:positionV>
            <wp:extent cx="629221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560"/>
          </w:cols>
          <w:pgMar w:left="1440" w:top="120" w:right="899" w:bottom="1440" w:gutter="0" w:footer="0" w:header="0"/>
        </w:sectPr>
      </w:pPr>
    </w:p>
    <w:bookmarkStart w:id="8" w:name="page9"/>
    <w:bookmarkEnd w:id="8"/>
    <w:p>
      <w:pPr>
        <w:jc w:val="center"/>
        <w:spacing w:after="0"/>
        <w:rPr>
          <w:sz w:val="20"/>
          <w:szCs w:val="20"/>
          <w:color w:val="auto"/>
        </w:rPr>
      </w:pPr>
      <w:r>
        <w:rPr>
          <w:rFonts w:ascii="Arial" w:cs="Arial" w:eastAsia="Arial" w:hAnsi="Arial"/>
          <w:sz w:val="14"/>
          <w:szCs w:val="14"/>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799465</wp:posOffset>
            </wp:positionH>
            <wp:positionV relativeFrom="paragraph">
              <wp:posOffset>392430</wp:posOffset>
            </wp:positionV>
            <wp:extent cx="52635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263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140" w:type="dxa"/>
        <w:tblCellMar>
          <w:top w:w="0" w:type="dxa"/>
          <w:left w:w="0" w:type="dxa"/>
          <w:bottom w:w="0" w:type="dxa"/>
          <w:right w:w="0" w:type="dxa"/>
        </w:tblCellMar>
      </w:tblPr>
      <w:tr>
        <w:trPr>
          <w:trHeight w:val="207"/>
        </w:trPr>
        <w:tc>
          <w:tcPr>
            <w:tcW w:w="1120" w:type="dxa"/>
            <w:vAlign w:val="bottom"/>
          </w:tcPr>
          <w:p>
            <w:pPr>
              <w:spacing w:after="0"/>
              <w:rPr>
                <w:sz w:val="17"/>
                <w:szCs w:val="17"/>
                <w:color w:val="auto"/>
              </w:rPr>
            </w:pPr>
          </w:p>
        </w:tc>
        <w:tc>
          <w:tcPr>
            <w:tcW w:w="3520" w:type="dxa"/>
            <w:vAlign w:val="bottom"/>
          </w:tcPr>
          <w:p>
            <w:pPr>
              <w:ind w:left="60"/>
              <w:spacing w:after="0"/>
              <w:rPr>
                <w:sz w:val="20"/>
                <w:szCs w:val="20"/>
                <w:color w:val="auto"/>
              </w:rPr>
            </w:pPr>
            <w:r>
              <w:rPr>
                <w:rFonts w:ascii="Arial" w:cs="Arial" w:eastAsia="Arial" w:hAnsi="Arial"/>
                <w:sz w:val="18"/>
                <w:szCs w:val="18"/>
                <w:b w:val="1"/>
                <w:bCs w:val="1"/>
                <w:color w:val="auto"/>
              </w:rPr>
              <w:t>Abschnitt 1:</w:t>
            </w:r>
          </w:p>
        </w:tc>
        <w:tc>
          <w:tcPr>
            <w:tcW w:w="1240" w:type="dxa"/>
            <w:vAlign w:val="bottom"/>
          </w:tcPr>
          <w:p>
            <w:pPr>
              <w:spacing w:after="0"/>
              <w:rPr>
                <w:sz w:val="17"/>
                <w:szCs w:val="17"/>
                <w:color w:val="auto"/>
              </w:rPr>
            </w:pPr>
          </w:p>
        </w:tc>
        <w:tc>
          <w:tcPr>
            <w:tcW w:w="3520" w:type="dxa"/>
            <w:vAlign w:val="bottom"/>
          </w:tcPr>
          <w:p>
            <w:pPr>
              <w:ind w:left="60"/>
              <w:spacing w:after="0"/>
              <w:rPr>
                <w:sz w:val="20"/>
                <w:szCs w:val="20"/>
                <w:color w:val="auto"/>
              </w:rPr>
            </w:pPr>
            <w:r>
              <w:rPr>
                <w:rFonts w:ascii="Arial" w:cs="Arial" w:eastAsia="Arial" w:hAnsi="Arial"/>
                <w:sz w:val="18"/>
                <w:szCs w:val="18"/>
                <w:b w:val="1"/>
                <w:bCs w:val="1"/>
                <w:color w:val="auto"/>
              </w:rPr>
              <w:t>Section 1:</w:t>
            </w: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3520" w:type="dxa"/>
            <w:vAlign w:val="bottom"/>
          </w:tcPr>
          <w:p>
            <w:pPr>
              <w:ind w:left="60"/>
              <w:spacing w:after="0" w:line="202" w:lineRule="exact"/>
              <w:rPr>
                <w:sz w:val="20"/>
                <w:szCs w:val="20"/>
                <w:color w:val="auto"/>
              </w:rPr>
            </w:pPr>
            <w:r>
              <w:rPr>
                <w:rFonts w:ascii="Arial" w:cs="Arial" w:eastAsia="Arial" w:hAnsi="Arial"/>
                <w:sz w:val="18"/>
                <w:szCs w:val="18"/>
                <w:i w:val="1"/>
                <w:iCs w:val="1"/>
                <w:color w:val="auto"/>
              </w:rPr>
              <w:t>Firma, Sitz, Zweck und Dauer der</w:t>
            </w:r>
          </w:p>
        </w:tc>
        <w:tc>
          <w:tcPr>
            <w:tcW w:w="1240" w:type="dxa"/>
            <w:vAlign w:val="bottom"/>
          </w:tcPr>
          <w:p>
            <w:pPr>
              <w:spacing w:after="0"/>
              <w:rPr>
                <w:sz w:val="17"/>
                <w:szCs w:val="17"/>
                <w:color w:val="auto"/>
              </w:rPr>
            </w:pPr>
          </w:p>
        </w:tc>
        <w:tc>
          <w:tcPr>
            <w:tcW w:w="3520" w:type="dxa"/>
            <w:vAlign w:val="bottom"/>
          </w:tcPr>
          <w:p>
            <w:pPr>
              <w:ind w:left="60"/>
              <w:spacing w:after="0" w:line="202" w:lineRule="exact"/>
              <w:rPr>
                <w:sz w:val="20"/>
                <w:szCs w:val="20"/>
                <w:color w:val="auto"/>
              </w:rPr>
            </w:pPr>
            <w:r>
              <w:rPr>
                <w:rFonts w:ascii="Arial" w:cs="Arial" w:eastAsia="Arial" w:hAnsi="Arial"/>
                <w:sz w:val="18"/>
                <w:szCs w:val="18"/>
                <w:i w:val="1"/>
                <w:iCs w:val="1"/>
                <w:color w:val="auto"/>
              </w:rPr>
              <w:t>Name, Place of Incorporation, Purpose</w:t>
            </w:r>
          </w:p>
        </w:tc>
        <w:tc>
          <w:tcPr>
            <w:tcW w:w="0" w:type="dxa"/>
            <w:vAlign w:val="bottom"/>
          </w:tcPr>
          <w:p>
            <w:pPr>
              <w:spacing w:after="0"/>
              <w:rPr>
                <w:sz w:val="1"/>
                <w:szCs w:val="1"/>
                <w:color w:val="auto"/>
              </w:rPr>
            </w:pPr>
          </w:p>
        </w:tc>
      </w:tr>
      <w:tr>
        <w:trPr>
          <w:trHeight w:val="237"/>
        </w:trPr>
        <w:tc>
          <w:tcPr>
            <w:tcW w:w="1120" w:type="dxa"/>
            <w:vAlign w:val="bottom"/>
          </w:tcPr>
          <w:p>
            <w:pPr>
              <w:spacing w:after="0"/>
              <w:rPr>
                <w:sz w:val="20"/>
                <w:szCs w:val="20"/>
                <w:color w:val="auto"/>
              </w:rPr>
            </w:pPr>
          </w:p>
        </w:tc>
        <w:tc>
          <w:tcPr>
            <w:tcW w:w="3520" w:type="dxa"/>
            <w:vAlign w:val="bottom"/>
          </w:tcPr>
          <w:p>
            <w:pPr>
              <w:ind w:left="60"/>
              <w:spacing w:after="0"/>
              <w:rPr>
                <w:sz w:val="20"/>
                <w:szCs w:val="20"/>
                <w:color w:val="auto"/>
              </w:rPr>
            </w:pPr>
            <w:r>
              <w:rPr>
                <w:rFonts w:ascii="Arial" w:cs="Arial" w:eastAsia="Arial" w:hAnsi="Arial"/>
                <w:sz w:val="18"/>
                <w:szCs w:val="18"/>
                <w:i w:val="1"/>
                <w:iCs w:val="1"/>
                <w:color w:val="auto"/>
              </w:rPr>
              <w:t>Gesellschaft</w:t>
            </w:r>
          </w:p>
        </w:tc>
        <w:tc>
          <w:tcPr>
            <w:tcW w:w="1240" w:type="dxa"/>
            <w:vAlign w:val="bottom"/>
          </w:tcPr>
          <w:p>
            <w:pPr>
              <w:spacing w:after="0"/>
              <w:rPr>
                <w:sz w:val="20"/>
                <w:szCs w:val="20"/>
                <w:color w:val="auto"/>
              </w:rPr>
            </w:pPr>
          </w:p>
        </w:tc>
        <w:tc>
          <w:tcPr>
            <w:tcW w:w="3520" w:type="dxa"/>
            <w:vAlign w:val="bottom"/>
          </w:tcPr>
          <w:p>
            <w:pPr>
              <w:ind w:left="60"/>
              <w:spacing w:after="0"/>
              <w:rPr>
                <w:sz w:val="20"/>
                <w:szCs w:val="20"/>
                <w:color w:val="auto"/>
              </w:rPr>
            </w:pPr>
            <w:r>
              <w:rPr>
                <w:rFonts w:ascii="Arial" w:cs="Arial" w:eastAsia="Arial" w:hAnsi="Arial"/>
                <w:sz w:val="18"/>
                <w:szCs w:val="18"/>
                <w:i w:val="1"/>
                <w:iCs w:val="1"/>
                <w:color w:val="auto"/>
              </w:rPr>
              <w:t>and Duration of the Company</w:t>
            </w:r>
          </w:p>
        </w:tc>
        <w:tc>
          <w:tcPr>
            <w:tcW w:w="0" w:type="dxa"/>
            <w:vAlign w:val="bottom"/>
          </w:tcPr>
          <w:p>
            <w:pPr>
              <w:spacing w:after="0"/>
              <w:rPr>
                <w:sz w:val="1"/>
                <w:szCs w:val="1"/>
                <w:color w:val="auto"/>
              </w:rPr>
            </w:pPr>
          </w:p>
        </w:tc>
      </w:tr>
      <w:tr>
        <w:trPr>
          <w:trHeight w:val="37"/>
        </w:trPr>
        <w:tc>
          <w:tcPr>
            <w:tcW w:w="1120" w:type="dxa"/>
            <w:vAlign w:val="bottom"/>
          </w:tcPr>
          <w:p>
            <w:pPr>
              <w:spacing w:after="0"/>
              <w:rPr>
                <w:sz w:val="3"/>
                <w:szCs w:val="3"/>
                <w:color w:val="auto"/>
              </w:rPr>
            </w:pPr>
          </w:p>
        </w:tc>
        <w:tc>
          <w:tcPr>
            <w:tcW w:w="3520" w:type="dxa"/>
            <w:vAlign w:val="bottom"/>
            <w:tcBorders>
              <w:bottom w:val="single" w:sz="8" w:color="auto"/>
            </w:tcBorders>
          </w:tcPr>
          <w:p>
            <w:pPr>
              <w:spacing w:after="0"/>
              <w:rPr>
                <w:sz w:val="3"/>
                <w:szCs w:val="3"/>
                <w:color w:val="auto"/>
              </w:rPr>
            </w:pPr>
          </w:p>
        </w:tc>
        <w:tc>
          <w:tcPr>
            <w:tcW w:w="1240" w:type="dxa"/>
            <w:vAlign w:val="bottom"/>
          </w:tcPr>
          <w:p>
            <w:pPr>
              <w:spacing w:after="0"/>
              <w:rPr>
                <w:sz w:val="3"/>
                <w:szCs w:val="3"/>
                <w:color w:val="auto"/>
              </w:rPr>
            </w:pPr>
          </w:p>
        </w:tc>
        <w:tc>
          <w:tcPr>
            <w:tcW w:w="35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5"/>
        </w:trPr>
        <w:tc>
          <w:tcPr>
            <w:tcW w:w="1120" w:type="dxa"/>
            <w:vAlign w:val="bottom"/>
          </w:tcPr>
          <w:p>
            <w:pPr>
              <w:spacing w:after="0"/>
              <w:rPr>
                <w:sz w:val="23"/>
                <w:szCs w:val="23"/>
                <w:color w:val="auto"/>
              </w:rPr>
            </w:pPr>
          </w:p>
        </w:tc>
        <w:tc>
          <w:tcPr>
            <w:tcW w:w="3520" w:type="dxa"/>
            <w:vAlign w:val="bottom"/>
          </w:tcPr>
          <w:p>
            <w:pPr>
              <w:ind w:left="60"/>
              <w:spacing w:after="0"/>
              <w:rPr>
                <w:sz w:val="20"/>
                <w:szCs w:val="20"/>
                <w:color w:val="auto"/>
              </w:rPr>
            </w:pPr>
            <w:r>
              <w:rPr>
                <w:rFonts w:ascii="Arial" w:cs="Arial" w:eastAsia="Arial" w:hAnsi="Arial"/>
                <w:sz w:val="18"/>
                <w:szCs w:val="18"/>
                <w:b w:val="1"/>
                <w:bCs w:val="1"/>
                <w:color w:val="auto"/>
              </w:rPr>
              <w:t>Artikel 1</w:t>
            </w:r>
          </w:p>
        </w:tc>
        <w:tc>
          <w:tcPr>
            <w:tcW w:w="1240" w:type="dxa"/>
            <w:vAlign w:val="bottom"/>
          </w:tcPr>
          <w:p>
            <w:pPr>
              <w:spacing w:after="0"/>
              <w:rPr>
                <w:sz w:val="23"/>
                <w:szCs w:val="23"/>
                <w:color w:val="auto"/>
              </w:rPr>
            </w:pPr>
          </w:p>
        </w:tc>
        <w:tc>
          <w:tcPr>
            <w:tcW w:w="3520" w:type="dxa"/>
            <w:vAlign w:val="bottom"/>
          </w:tcPr>
          <w:p>
            <w:pPr>
              <w:ind w:left="60"/>
              <w:spacing w:after="0"/>
              <w:rPr>
                <w:sz w:val="20"/>
                <w:szCs w:val="20"/>
                <w:color w:val="auto"/>
              </w:rPr>
            </w:pPr>
            <w:r>
              <w:rPr>
                <w:rFonts w:ascii="Arial" w:cs="Arial" w:eastAsia="Arial" w:hAnsi="Arial"/>
                <w:sz w:val="18"/>
                <w:szCs w:val="18"/>
                <w:b w:val="1"/>
                <w:bCs w:val="1"/>
                <w:color w:val="auto"/>
              </w:rPr>
              <w:t>Article 1</w:t>
            </w:r>
          </w:p>
        </w:tc>
        <w:tc>
          <w:tcPr>
            <w:tcW w:w="0" w:type="dxa"/>
            <w:vAlign w:val="bottom"/>
          </w:tcPr>
          <w:p>
            <w:pPr>
              <w:spacing w:after="0"/>
              <w:rPr>
                <w:sz w:val="1"/>
                <w:szCs w:val="1"/>
                <w:color w:val="auto"/>
              </w:rPr>
            </w:pPr>
          </w:p>
        </w:tc>
      </w:tr>
      <w:tr>
        <w:trPr>
          <w:trHeight w:val="353"/>
        </w:trPr>
        <w:tc>
          <w:tcPr>
            <w:tcW w:w="1120" w:type="dxa"/>
            <w:vAlign w:val="bottom"/>
          </w:tcPr>
          <w:p>
            <w:pPr>
              <w:spacing w:after="0"/>
              <w:rPr>
                <w:sz w:val="20"/>
                <w:szCs w:val="20"/>
                <w:color w:val="auto"/>
              </w:rPr>
            </w:pPr>
            <w:r>
              <w:rPr>
                <w:rFonts w:ascii="Arial" w:cs="Arial" w:eastAsia="Arial" w:hAnsi="Arial"/>
                <w:sz w:val="14"/>
                <w:szCs w:val="14"/>
                <w:color w:val="auto"/>
              </w:rPr>
              <w:t>Firma, Sitz</w:t>
            </w:r>
          </w:p>
        </w:tc>
        <w:tc>
          <w:tcPr>
            <w:tcW w:w="3520" w:type="dxa"/>
            <w:vAlign w:val="bottom"/>
          </w:tcPr>
          <w:p>
            <w:pPr>
              <w:ind w:left="60"/>
              <w:spacing w:after="0"/>
              <w:rPr>
                <w:sz w:val="20"/>
                <w:szCs w:val="20"/>
                <w:color w:val="auto"/>
              </w:rPr>
            </w:pPr>
            <w:r>
              <w:rPr>
                <w:rFonts w:ascii="Arial" w:cs="Arial" w:eastAsia="Arial" w:hAnsi="Arial"/>
                <w:sz w:val="18"/>
                <w:szCs w:val="18"/>
                <w:color w:val="auto"/>
              </w:rPr>
              <w:t>Unter der Firma</w:t>
            </w:r>
          </w:p>
        </w:tc>
        <w:tc>
          <w:tcPr>
            <w:tcW w:w="1240" w:type="dxa"/>
            <w:vAlign w:val="bottom"/>
          </w:tcPr>
          <w:p>
            <w:pPr>
              <w:ind w:left="60"/>
              <w:spacing w:after="0"/>
              <w:rPr>
                <w:sz w:val="20"/>
                <w:szCs w:val="20"/>
                <w:color w:val="auto"/>
              </w:rPr>
            </w:pPr>
            <w:r>
              <w:rPr>
                <w:rFonts w:ascii="Arial" w:cs="Arial" w:eastAsia="Arial" w:hAnsi="Arial"/>
                <w:sz w:val="14"/>
                <w:szCs w:val="14"/>
                <w:color w:val="auto"/>
              </w:rPr>
              <w:t>Name, Place</w:t>
            </w:r>
          </w:p>
        </w:tc>
        <w:tc>
          <w:tcPr>
            <w:tcW w:w="3520" w:type="dxa"/>
            <w:vAlign w:val="bottom"/>
          </w:tcPr>
          <w:p>
            <w:pPr>
              <w:ind w:left="60"/>
              <w:spacing w:after="0"/>
              <w:rPr>
                <w:sz w:val="20"/>
                <w:szCs w:val="20"/>
                <w:color w:val="auto"/>
              </w:rPr>
            </w:pPr>
            <w:r>
              <w:rPr>
                <w:rFonts w:ascii="Arial" w:cs="Arial" w:eastAsia="Arial" w:hAnsi="Arial"/>
                <w:sz w:val="18"/>
                <w:szCs w:val="18"/>
                <w:color w:val="auto"/>
              </w:rPr>
              <w:t>Under the name</w:t>
            </w:r>
          </w:p>
        </w:tc>
        <w:tc>
          <w:tcPr>
            <w:tcW w:w="0" w:type="dxa"/>
            <w:vAlign w:val="bottom"/>
          </w:tcPr>
          <w:p>
            <w:pPr>
              <w:spacing w:after="0"/>
              <w:rPr>
                <w:sz w:val="1"/>
                <w:szCs w:val="1"/>
                <w:color w:val="auto"/>
              </w:rPr>
            </w:pPr>
          </w:p>
        </w:tc>
      </w:tr>
      <w:tr>
        <w:trPr>
          <w:trHeight w:val="153"/>
        </w:trPr>
        <w:tc>
          <w:tcPr>
            <w:tcW w:w="112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240" w:type="dxa"/>
            <w:vAlign w:val="bottom"/>
          </w:tcPr>
          <w:p>
            <w:pPr>
              <w:ind w:left="60"/>
              <w:spacing w:after="0" w:line="153" w:lineRule="exact"/>
              <w:rPr>
                <w:sz w:val="20"/>
                <w:szCs w:val="20"/>
                <w:color w:val="auto"/>
              </w:rPr>
            </w:pPr>
            <w:r>
              <w:rPr>
                <w:rFonts w:ascii="Arial" w:cs="Arial" w:eastAsia="Arial" w:hAnsi="Arial"/>
                <w:sz w:val="14"/>
                <w:szCs w:val="14"/>
                <w:color w:val="auto"/>
              </w:rPr>
              <w:t>of</w:t>
            </w:r>
          </w:p>
        </w:tc>
        <w:tc>
          <w:tcPr>
            <w:tcW w:w="3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120" w:type="dxa"/>
            <w:vAlign w:val="bottom"/>
          </w:tcPr>
          <w:p>
            <w:pPr>
              <w:spacing w:after="0"/>
              <w:rPr>
                <w:sz w:val="16"/>
                <w:szCs w:val="16"/>
                <w:color w:val="auto"/>
              </w:rPr>
            </w:pPr>
          </w:p>
        </w:tc>
        <w:tc>
          <w:tcPr>
            <w:tcW w:w="352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Transocean Ltd.</w:t>
            </w:r>
          </w:p>
        </w:tc>
        <w:tc>
          <w:tcPr>
            <w:tcW w:w="1240" w:type="dxa"/>
            <w:vAlign w:val="bottom"/>
          </w:tcPr>
          <w:p>
            <w:pPr>
              <w:ind w:left="60"/>
              <w:spacing w:after="0"/>
              <w:rPr>
                <w:sz w:val="20"/>
                <w:szCs w:val="20"/>
                <w:color w:val="auto"/>
              </w:rPr>
            </w:pPr>
            <w:r>
              <w:rPr>
                <w:rFonts w:ascii="Arial" w:cs="Arial" w:eastAsia="Arial" w:hAnsi="Arial"/>
                <w:sz w:val="14"/>
                <w:szCs w:val="14"/>
                <w:color w:val="auto"/>
              </w:rPr>
              <w:t>Incorporation</w:t>
            </w:r>
          </w:p>
        </w:tc>
        <w:tc>
          <w:tcPr>
            <w:tcW w:w="352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Transocean Ltd.</w:t>
            </w: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3520" w:type="dxa"/>
            <w:vAlign w:val="bottom"/>
            <w:vMerge w:val="continue"/>
          </w:tcPr>
          <w:p>
            <w:pPr>
              <w:spacing w:after="0"/>
              <w:rPr>
                <w:sz w:val="15"/>
                <w:szCs w:val="15"/>
                <w:color w:val="auto"/>
              </w:rPr>
            </w:pPr>
          </w:p>
        </w:tc>
        <w:tc>
          <w:tcPr>
            <w:tcW w:w="1240" w:type="dxa"/>
            <w:vAlign w:val="bottom"/>
          </w:tcPr>
          <w:p>
            <w:pPr>
              <w:spacing w:after="0"/>
              <w:rPr>
                <w:sz w:val="15"/>
                <w:szCs w:val="15"/>
                <w:color w:val="auto"/>
              </w:rPr>
            </w:pPr>
          </w:p>
        </w:tc>
        <w:tc>
          <w:tcPr>
            <w:tcW w:w="35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1120" w:type="dxa"/>
            <w:vAlign w:val="bottom"/>
          </w:tcPr>
          <w:p>
            <w:pPr>
              <w:spacing w:after="0"/>
              <w:rPr>
                <w:sz w:val="23"/>
                <w:szCs w:val="23"/>
                <w:color w:val="auto"/>
              </w:rPr>
            </w:pPr>
          </w:p>
        </w:tc>
        <w:tc>
          <w:tcPr>
            <w:tcW w:w="3520" w:type="dxa"/>
            <w:vAlign w:val="bottom"/>
          </w:tcPr>
          <w:p>
            <w:pPr>
              <w:ind w:left="60"/>
              <w:spacing w:after="0"/>
              <w:rPr>
                <w:sz w:val="20"/>
                <w:szCs w:val="20"/>
                <w:color w:val="auto"/>
              </w:rPr>
            </w:pPr>
            <w:r>
              <w:rPr>
                <w:rFonts w:ascii="Arial" w:cs="Arial" w:eastAsia="Arial" w:hAnsi="Arial"/>
                <w:sz w:val="18"/>
                <w:szCs w:val="18"/>
                <w:color w:val="auto"/>
              </w:rPr>
              <w:t xml:space="preserve">(die </w:t>
            </w:r>
            <w:r>
              <w:rPr>
                <w:rFonts w:ascii="Arial" w:cs="Arial" w:eastAsia="Arial" w:hAnsi="Arial"/>
                <w:sz w:val="18"/>
                <w:szCs w:val="18"/>
                <w:b w:val="1"/>
                <w:bCs w:val="1"/>
                <w:color w:val="auto"/>
              </w:rPr>
              <w:t>Gesellschaft</w:t>
            </w:r>
            <w:r>
              <w:rPr>
                <w:rFonts w:ascii="Arial" w:cs="Arial" w:eastAsia="Arial" w:hAnsi="Arial"/>
                <w:sz w:val="18"/>
                <w:szCs w:val="18"/>
                <w:color w:val="auto"/>
              </w:rPr>
              <w:t>)</w:t>
            </w:r>
          </w:p>
        </w:tc>
        <w:tc>
          <w:tcPr>
            <w:tcW w:w="1240" w:type="dxa"/>
            <w:vAlign w:val="bottom"/>
          </w:tcPr>
          <w:p>
            <w:pPr>
              <w:spacing w:after="0"/>
              <w:rPr>
                <w:sz w:val="23"/>
                <w:szCs w:val="23"/>
                <w:color w:val="auto"/>
              </w:rPr>
            </w:pPr>
          </w:p>
        </w:tc>
        <w:tc>
          <w:tcPr>
            <w:tcW w:w="3520" w:type="dxa"/>
            <w:vAlign w:val="bottom"/>
          </w:tcPr>
          <w:p>
            <w:pPr>
              <w:ind w:left="60"/>
              <w:spacing w:after="0"/>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Company</w:t>
            </w: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1080" w:top="670" w:right="899" w:bottom="1440" w:gutter="0" w:footer="0" w:header="0"/>
        </w:sectPr>
      </w:pPr>
    </w:p>
    <w:p>
      <w:pPr>
        <w:spacing w:after="0" w:line="201" w:lineRule="exact"/>
        <w:rPr>
          <w:sz w:val="20"/>
          <w:szCs w:val="20"/>
          <w:color w:val="auto"/>
        </w:rPr>
      </w:pPr>
    </w:p>
    <w:p>
      <w:pPr>
        <w:ind w:left="1320" w:right="740"/>
        <w:spacing w:after="0" w:line="271" w:lineRule="auto"/>
        <w:rPr>
          <w:sz w:val="20"/>
          <w:szCs w:val="20"/>
          <w:color w:val="auto"/>
        </w:rPr>
      </w:pPr>
      <w:r>
        <w:rPr>
          <w:rFonts w:ascii="Arial" w:cs="Arial" w:eastAsia="Arial" w:hAnsi="Arial"/>
          <w:sz w:val="18"/>
          <w:szCs w:val="18"/>
          <w:color w:val="auto"/>
        </w:rPr>
        <w:t>besteht eine Aktiengesellschaft mit Sitz in Steinhausen, Kanton Zug, Schweiz.</w:t>
      </w:r>
    </w:p>
    <w:p>
      <w:pPr>
        <w:spacing w:after="0" w:line="20" w:lineRule="exact"/>
        <w:rPr>
          <w:sz w:val="20"/>
          <w:szCs w:val="20"/>
          <w:color w:val="auto"/>
        </w:rPr>
      </w:pPr>
      <w:r>
        <w:rPr>
          <w:sz w:val="20"/>
          <w:szCs w:val="20"/>
          <w:color w:val="auto"/>
        </w:rPr>
        <w:br w:type="column"/>
      </w:r>
    </w:p>
    <w:p>
      <w:pPr>
        <w:ind w:right="540"/>
        <w:spacing w:after="0" w:line="253" w:lineRule="auto"/>
        <w:rPr>
          <w:sz w:val="20"/>
          <w:szCs w:val="20"/>
          <w:color w:val="auto"/>
        </w:rPr>
      </w:pPr>
      <w:r>
        <w:rPr>
          <w:rFonts w:ascii="Arial" w:cs="Arial" w:eastAsia="Arial" w:hAnsi="Arial"/>
          <w:sz w:val="18"/>
          <w:szCs w:val="18"/>
          <w:color w:val="auto"/>
        </w:rPr>
        <w:t>there exists a corporation with its place of incorporation in Steinhausen, Canton of Zug, Switzerland.</w:t>
      </w:r>
    </w:p>
    <w:p>
      <w:pPr>
        <w:spacing w:after="0" w:line="2" w:lineRule="exact"/>
        <w:rPr>
          <w:sz w:val="20"/>
          <w:szCs w:val="20"/>
          <w:color w:val="auto"/>
        </w:rPr>
      </w:pPr>
    </w:p>
    <w:p>
      <w:pPr>
        <w:sectPr>
          <w:pgSz w:w="11900" w:h="16838" w:orient="portrait"/>
          <w:cols w:equalWidth="0" w:num="2">
            <w:col w:w="5360" w:space="720"/>
            <w:col w:w="3840"/>
          </w:cols>
          <w:pgMar w:left="1080" w:top="670" w:right="899" w:bottom="1440" w:gutter="0" w:footer="0" w:header="0"/>
          <w:type w:val="continuous"/>
        </w:sectPr>
      </w:pPr>
    </w:p>
    <w:p>
      <w:pPr>
        <w:ind w:left="140"/>
        <w:spacing w:after="0"/>
        <w:tabs>
          <w:tab w:leader="none" w:pos="1300" w:val="left"/>
          <w:tab w:leader="none" w:pos="4820" w:val="left"/>
          <w:tab w:leader="none" w:pos="6060" w:val="left"/>
        </w:tabs>
        <w:rPr>
          <w:sz w:val="20"/>
          <w:szCs w:val="20"/>
          <w:color w:val="auto"/>
        </w:rPr>
      </w:pPr>
      <w:r>
        <w:rPr>
          <w:rFonts w:ascii="Arial" w:cs="Arial" w:eastAsia="Arial" w:hAnsi="Arial"/>
          <w:sz w:val="29"/>
          <w:szCs w:val="29"/>
          <w:color w:val="auto"/>
          <w:vertAlign w:val="superscript"/>
        </w:rPr>
        <w:t>Zweck</w:t>
      </w:r>
      <w:r>
        <w:rPr>
          <w:sz w:val="20"/>
          <w:szCs w:val="20"/>
          <w:color w:val="auto"/>
        </w:rPr>
        <w:tab/>
      </w:r>
      <w:r>
        <w:rPr>
          <w:rFonts w:ascii="Arial" w:cs="Arial" w:eastAsia="Arial" w:hAnsi="Arial"/>
          <w:sz w:val="18"/>
          <w:szCs w:val="18"/>
          <w:b w:val="1"/>
          <w:bCs w:val="1"/>
          <w:color w:val="auto"/>
        </w:rPr>
        <w:t>Artikel 2</w:t>
      </w:r>
      <w:r>
        <w:rPr>
          <w:sz w:val="20"/>
          <w:szCs w:val="20"/>
          <w:color w:val="auto"/>
        </w:rPr>
        <w:tab/>
      </w:r>
      <w:r>
        <w:rPr>
          <w:rFonts w:ascii="Arial" w:cs="Arial" w:eastAsia="Arial" w:hAnsi="Arial"/>
          <w:sz w:val="29"/>
          <w:szCs w:val="29"/>
          <w:color w:val="auto"/>
          <w:vertAlign w:val="superscript"/>
        </w:rPr>
        <w:t>Purpose</w:t>
      </w:r>
      <w:r>
        <w:rPr>
          <w:sz w:val="20"/>
          <w:szCs w:val="20"/>
          <w:color w:val="auto"/>
        </w:rPr>
        <w:tab/>
      </w:r>
      <w:r>
        <w:rPr>
          <w:rFonts w:ascii="Arial" w:cs="Arial" w:eastAsia="Arial" w:hAnsi="Arial"/>
          <w:sz w:val="18"/>
          <w:szCs w:val="18"/>
          <w:b w:val="1"/>
          <w:bCs w:val="1"/>
          <w:color w:val="auto"/>
        </w:rPr>
        <w:t>Article 2</w:t>
      </w:r>
    </w:p>
    <w:p>
      <w:pPr>
        <w:sectPr>
          <w:pgSz w:w="11900" w:h="16838" w:orient="portrait"/>
          <w:cols w:equalWidth="0" w:num="1">
            <w:col w:w="9920"/>
          </w:cols>
          <w:pgMar w:left="1080" w:top="670" w:right="899" w:bottom="1440" w:gutter="0" w:footer="0" w:header="0"/>
          <w:type w:val="continuous"/>
        </w:sectPr>
      </w:pPr>
    </w:p>
    <w:p>
      <w:pPr>
        <w:spacing w:after="0" w:line="99" w:lineRule="exact"/>
        <w:rPr>
          <w:sz w:val="20"/>
          <w:szCs w:val="20"/>
          <w:color w:val="auto"/>
        </w:rPr>
      </w:pPr>
    </w:p>
    <w:p>
      <w:pPr>
        <w:ind w:left="1320" w:right="435" w:hanging="271"/>
        <w:spacing w:after="0" w:line="229" w:lineRule="auto"/>
        <w:tabs>
          <w:tab w:leader="none" w:pos="1320" w:val="left"/>
        </w:tabs>
        <w:numPr>
          <w:ilvl w:val="0"/>
          <w:numId w:val="15"/>
        </w:numPr>
        <w:rPr>
          <w:rFonts w:ascii="Arial" w:cs="Arial" w:eastAsia="Arial" w:hAnsi="Arial"/>
          <w:sz w:val="29"/>
          <w:szCs w:val="29"/>
          <w:color w:val="auto"/>
          <w:vertAlign w:val="superscript"/>
        </w:rPr>
      </w:pPr>
      <w:r>
        <w:rPr>
          <w:rFonts w:ascii="Arial" w:cs="Arial" w:eastAsia="Arial" w:hAnsi="Arial"/>
          <w:sz w:val="18"/>
          <w:szCs w:val="18"/>
          <w:color w:val="auto"/>
        </w:rPr>
        <w:t>Zweck der Gesellschaft ist der Erwerb, das Halten, die Verwaltung, die Verwertung und die Veräusserung von Beteiligungen an Unternehmen im In- und Ausland, ob direkt oder indirekt, insbesondere an Unternehmen, die im Bereich der Erbringung von Dienstleistungen für Offshore Öl- und Gasbohrungen, einschliesslich Management Dienstleistungen, Bohringenieurs- und Bohr-Projekt Management-Dienstleistungen für Öl- und Gasbohrungen, sowie von Öl- und Gas-Exploration und -Produktionsaktivitäten­ tätig sind, sowie die Finanzierung dieser Aktivitäten. Die Gesellschaft kann Grundstücke und gewerbliche Schutzrechte im In- und Ausland erwerben, halten, verwalten, belasten und verkaufen.</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ind w:left="265" w:right="460" w:hanging="265"/>
        <w:spacing w:after="0" w:line="228" w:lineRule="auto"/>
        <w:tabs>
          <w:tab w:leader="none" w:pos="265" w:val="left"/>
        </w:tabs>
        <w:numPr>
          <w:ilvl w:val="0"/>
          <w:numId w:val="16"/>
        </w:numPr>
        <w:rPr>
          <w:rFonts w:ascii="Arial" w:cs="Arial" w:eastAsia="Arial" w:hAnsi="Arial"/>
          <w:sz w:val="29"/>
          <w:szCs w:val="29"/>
          <w:color w:val="auto"/>
          <w:vertAlign w:val="superscript"/>
        </w:rPr>
      </w:pPr>
      <w:r>
        <w:rPr>
          <w:rFonts w:ascii="Arial" w:cs="Arial" w:eastAsia="Arial" w:hAnsi="Arial"/>
          <w:sz w:val="18"/>
          <w:szCs w:val="18"/>
          <w:color w:val="auto"/>
        </w:rPr>
        <w:t>The purpose of the Company is to acquire, hold, manage, exploit and sell, whether directly or indirectly, participations in businesses in Switzerland and abroad, in particular in businesses that are involved in offshore contract drilling services for oil and gas wells, oil and gas drilling management services, drilling engineering services and drilling project management services and oil and gas exploration and production activities, and to provide financing for this purpose. The Company may acquire, hold, manage, mortgage and sell real estate and intellectual property rights in Switzerland and abroad.</w:t>
      </w:r>
    </w:p>
    <w:p>
      <w:pPr>
        <w:spacing w:after="0" w:line="891" w:lineRule="exact"/>
        <w:rPr>
          <w:sz w:val="20"/>
          <w:szCs w:val="20"/>
          <w:color w:val="auto"/>
        </w:rPr>
      </w:pPr>
    </w:p>
    <w:p>
      <w:pPr>
        <w:sectPr>
          <w:pgSz w:w="11900" w:h="16838" w:orient="portrait"/>
          <w:cols w:equalWidth="0" w:num="2">
            <w:col w:w="5095" w:space="720"/>
            <w:col w:w="4105"/>
          </w:cols>
          <w:pgMar w:left="1080" w:top="670" w:right="899" w:bottom="1440" w:gutter="0" w:footer="0" w:header="0"/>
          <w:type w:val="continuous"/>
        </w:sectPr>
      </w:pPr>
    </w:p>
    <w:p>
      <w:pPr>
        <w:ind w:left="1320" w:right="495" w:hanging="271"/>
        <w:spacing w:after="0" w:line="216" w:lineRule="auto"/>
        <w:tabs>
          <w:tab w:leader="none" w:pos="1320" w:val="left"/>
        </w:tabs>
        <w:numPr>
          <w:ilvl w:val="0"/>
          <w:numId w:val="17"/>
        </w:numPr>
        <w:rPr>
          <w:rFonts w:ascii="Arial" w:cs="Arial" w:eastAsia="Arial" w:hAnsi="Arial"/>
          <w:sz w:val="29"/>
          <w:szCs w:val="29"/>
          <w:color w:val="auto"/>
          <w:vertAlign w:val="superscript"/>
        </w:rPr>
      </w:pPr>
      <w:r>
        <w:rPr>
          <w:rFonts w:ascii="Arial" w:cs="Arial" w:eastAsia="Arial" w:hAnsi="Arial"/>
          <w:sz w:val="18"/>
          <w:szCs w:val="18"/>
          <w:color w:val="auto"/>
        </w:rPr>
        <w:t>Die Gesellschaft kann alle Tätigkeiten ausüben und Massnahmen ergreifen, die geeignet erscheinen, den Zweck der Gesellschaft zu fördern, oder die mit diesem zusammenhängen.</w:t>
      </w:r>
    </w:p>
    <w:p>
      <w:pPr>
        <w:spacing w:after="0" w:line="75" w:lineRule="exact"/>
        <w:rPr>
          <w:rFonts w:ascii="Arial" w:cs="Arial" w:eastAsia="Arial" w:hAnsi="Arial"/>
          <w:sz w:val="29"/>
          <w:szCs w:val="29"/>
          <w:color w:val="auto"/>
          <w:vertAlign w:val="superscript"/>
        </w:rPr>
      </w:pPr>
    </w:p>
    <w:p>
      <w:pPr>
        <w:ind w:left="1320"/>
        <w:spacing w:after="0"/>
        <w:rPr>
          <w:rFonts w:ascii="Arial" w:cs="Arial" w:eastAsia="Arial" w:hAnsi="Arial"/>
          <w:sz w:val="29"/>
          <w:szCs w:val="29"/>
          <w:color w:val="auto"/>
          <w:vertAlign w:val="superscript"/>
        </w:rPr>
      </w:pPr>
      <w:r>
        <w:rPr>
          <w:rFonts w:ascii="Arial" w:cs="Arial" w:eastAsia="Arial" w:hAnsi="Arial"/>
          <w:sz w:val="18"/>
          <w:szCs w:val="18"/>
          <w:b w:val="1"/>
          <w:bCs w:val="1"/>
          <w:color w:val="auto"/>
        </w:rPr>
        <w:t>Artikel 3</w:t>
      </w:r>
    </w:p>
    <w:p>
      <w:pPr>
        <w:spacing w:after="0" w:line="20" w:lineRule="exact"/>
        <w:rPr>
          <w:sz w:val="20"/>
          <w:szCs w:val="20"/>
          <w:color w:val="auto"/>
        </w:rPr>
      </w:pPr>
      <w:r>
        <w:rPr>
          <w:sz w:val="20"/>
          <w:szCs w:val="20"/>
          <w:color w:val="auto"/>
        </w:rPr>
        <w:br w:type="column"/>
      </w:r>
    </w:p>
    <w:p>
      <w:pPr>
        <w:ind w:left="265" w:right="560" w:hanging="265"/>
        <w:spacing w:after="0" w:line="216" w:lineRule="auto"/>
        <w:tabs>
          <w:tab w:leader="none" w:pos="265" w:val="left"/>
        </w:tabs>
        <w:numPr>
          <w:ilvl w:val="0"/>
          <w:numId w:val="18"/>
        </w:numPr>
        <w:rPr>
          <w:rFonts w:ascii="Arial" w:cs="Arial" w:eastAsia="Arial" w:hAnsi="Arial"/>
          <w:sz w:val="29"/>
          <w:szCs w:val="29"/>
          <w:color w:val="auto"/>
          <w:vertAlign w:val="superscript"/>
        </w:rPr>
      </w:pPr>
      <w:r>
        <w:rPr>
          <w:rFonts w:ascii="Arial" w:cs="Arial" w:eastAsia="Arial" w:hAnsi="Arial"/>
          <w:sz w:val="18"/>
          <w:szCs w:val="18"/>
          <w:color w:val="auto"/>
        </w:rPr>
        <w:t>The Company may engage in all types of transactions and may take all measures that appear appropriate to promote the purpose of the Company or that are related thereto.</w:t>
      </w:r>
    </w:p>
    <w:p>
      <w:pPr>
        <w:spacing w:after="0" w:line="75" w:lineRule="exact"/>
        <w:rPr>
          <w:rFonts w:ascii="Arial" w:cs="Arial" w:eastAsia="Arial" w:hAnsi="Arial"/>
          <w:sz w:val="29"/>
          <w:szCs w:val="29"/>
          <w:color w:val="auto"/>
          <w:vertAlign w:val="superscript"/>
        </w:rPr>
      </w:pPr>
    </w:p>
    <w:p>
      <w:pPr>
        <w:ind w:left="265"/>
        <w:spacing w:after="0"/>
        <w:rPr>
          <w:rFonts w:ascii="Arial" w:cs="Arial" w:eastAsia="Arial" w:hAnsi="Arial"/>
          <w:sz w:val="29"/>
          <w:szCs w:val="29"/>
          <w:color w:val="auto"/>
          <w:vertAlign w:val="superscript"/>
        </w:rPr>
      </w:pPr>
      <w:r>
        <w:rPr>
          <w:rFonts w:ascii="Arial" w:cs="Arial" w:eastAsia="Arial" w:hAnsi="Arial"/>
          <w:sz w:val="18"/>
          <w:szCs w:val="18"/>
          <w:b w:val="1"/>
          <w:bCs w:val="1"/>
          <w:color w:val="auto"/>
        </w:rPr>
        <w:t>Article 3</w:t>
      </w:r>
    </w:p>
    <w:p>
      <w:pPr>
        <w:spacing w:after="0" w:line="200" w:lineRule="exact"/>
        <w:rPr>
          <w:sz w:val="20"/>
          <w:szCs w:val="20"/>
          <w:color w:val="auto"/>
        </w:rPr>
      </w:pPr>
    </w:p>
    <w:p>
      <w:pPr>
        <w:sectPr>
          <w:pgSz w:w="11900" w:h="16838" w:orient="portrait"/>
          <w:cols w:equalWidth="0" w:num="2">
            <w:col w:w="5095" w:space="720"/>
            <w:col w:w="4105"/>
          </w:cols>
          <w:pgMar w:left="1080" w:top="670" w:right="899" w:bottom="1440" w:gutter="0" w:footer="0" w:header="0"/>
          <w:type w:val="continuous"/>
        </w:sectPr>
      </w:pP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tcPr>
          <w:p>
            <w:pPr>
              <w:ind w:left="140"/>
              <w:spacing w:after="0"/>
              <w:rPr>
                <w:sz w:val="20"/>
                <w:szCs w:val="20"/>
                <w:color w:val="auto"/>
              </w:rPr>
            </w:pPr>
            <w:r>
              <w:rPr>
                <w:rFonts w:ascii="Arial" w:cs="Arial" w:eastAsia="Arial" w:hAnsi="Arial"/>
                <w:sz w:val="14"/>
                <w:szCs w:val="14"/>
                <w:color w:val="auto"/>
              </w:rPr>
              <w:t>Dauer</w:t>
            </w:r>
          </w:p>
        </w:tc>
        <w:tc>
          <w:tcPr>
            <w:tcW w:w="3360" w:type="dxa"/>
            <w:vAlign w:val="bottom"/>
          </w:tcPr>
          <w:p>
            <w:pPr>
              <w:ind w:left="400"/>
              <w:spacing w:after="0"/>
              <w:rPr>
                <w:sz w:val="20"/>
                <w:szCs w:val="20"/>
                <w:color w:val="auto"/>
              </w:rPr>
            </w:pPr>
            <w:r>
              <w:rPr>
                <w:rFonts w:ascii="Arial" w:cs="Arial" w:eastAsia="Arial" w:hAnsi="Arial"/>
                <w:sz w:val="18"/>
                <w:szCs w:val="18"/>
                <w:color w:val="auto"/>
              </w:rPr>
              <w:t>Die Dauer der Gesellschaft ist</w:t>
            </w:r>
          </w:p>
        </w:tc>
        <w:tc>
          <w:tcPr>
            <w:tcW w:w="1460" w:type="dxa"/>
            <w:vAlign w:val="bottom"/>
          </w:tcPr>
          <w:p>
            <w:pPr>
              <w:ind w:left="560"/>
              <w:spacing w:after="0"/>
              <w:rPr>
                <w:sz w:val="20"/>
                <w:szCs w:val="20"/>
                <w:color w:val="auto"/>
              </w:rPr>
            </w:pPr>
            <w:r>
              <w:rPr>
                <w:rFonts w:ascii="Arial" w:cs="Arial" w:eastAsia="Arial" w:hAnsi="Arial"/>
                <w:sz w:val="14"/>
                <w:szCs w:val="14"/>
                <w:color w:val="auto"/>
              </w:rPr>
              <w:t>Duration</w:t>
            </w:r>
          </w:p>
        </w:tc>
        <w:tc>
          <w:tcPr>
            <w:tcW w:w="4180" w:type="dxa"/>
            <w:vAlign w:val="bottom"/>
          </w:tcPr>
          <w:p>
            <w:pPr>
              <w:ind w:left="340"/>
              <w:spacing w:after="0"/>
              <w:rPr>
                <w:sz w:val="20"/>
                <w:szCs w:val="20"/>
                <w:color w:val="auto"/>
              </w:rPr>
            </w:pPr>
            <w:r>
              <w:rPr>
                <w:rFonts w:ascii="Arial" w:cs="Arial" w:eastAsia="Arial" w:hAnsi="Arial"/>
                <w:sz w:val="18"/>
                <w:szCs w:val="18"/>
                <w:color w:val="auto"/>
              </w:rPr>
              <w:t>The duration of the Company is unlimited.</w:t>
            </w:r>
          </w:p>
        </w:tc>
      </w:tr>
      <w:tr>
        <w:trPr>
          <w:trHeight w:val="239"/>
        </w:trPr>
        <w:tc>
          <w:tcPr>
            <w:tcW w:w="920" w:type="dxa"/>
            <w:vAlign w:val="bottom"/>
          </w:tcPr>
          <w:p>
            <w:pPr>
              <w:spacing w:after="0"/>
              <w:rPr>
                <w:sz w:val="20"/>
                <w:szCs w:val="20"/>
                <w:color w:val="auto"/>
              </w:rPr>
            </w:pPr>
          </w:p>
        </w:tc>
        <w:tc>
          <w:tcPr>
            <w:tcW w:w="3360" w:type="dxa"/>
            <w:vAlign w:val="bottom"/>
          </w:tcPr>
          <w:p>
            <w:pPr>
              <w:ind w:left="400"/>
              <w:spacing w:after="0"/>
              <w:rPr>
                <w:sz w:val="20"/>
                <w:szCs w:val="20"/>
                <w:color w:val="auto"/>
              </w:rPr>
            </w:pPr>
            <w:r>
              <w:rPr>
                <w:rFonts w:ascii="Arial" w:cs="Arial" w:eastAsia="Arial" w:hAnsi="Arial"/>
                <w:sz w:val="18"/>
                <w:szCs w:val="18"/>
                <w:color w:val="auto"/>
              </w:rPr>
              <w:t>unbeschränkt.</w:t>
            </w:r>
          </w:p>
        </w:tc>
        <w:tc>
          <w:tcPr>
            <w:tcW w:w="1460" w:type="dxa"/>
            <w:vAlign w:val="bottom"/>
          </w:tcPr>
          <w:p>
            <w:pPr>
              <w:spacing w:after="0"/>
              <w:rPr>
                <w:sz w:val="20"/>
                <w:szCs w:val="20"/>
                <w:color w:val="auto"/>
              </w:rPr>
            </w:pPr>
          </w:p>
        </w:tc>
        <w:tc>
          <w:tcPr>
            <w:tcW w:w="4180" w:type="dxa"/>
            <w:vAlign w:val="bottom"/>
          </w:tcPr>
          <w:p>
            <w:pPr>
              <w:spacing w:after="0"/>
              <w:rPr>
                <w:sz w:val="20"/>
                <w:szCs w:val="20"/>
                <w:color w:val="auto"/>
              </w:rPr>
            </w:pPr>
          </w:p>
        </w:tc>
      </w:tr>
      <w:tr>
        <w:trPr>
          <w:trHeight w:val="1016"/>
        </w:trPr>
        <w:tc>
          <w:tcPr>
            <w:tcW w:w="92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1080" w:top="670" w:right="899" w:bottom="1440" w:gutter="0" w:footer="0" w:header="0"/>
          <w:type w:val="continuous"/>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14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520" w:type="dxa"/>
            <w:vAlign w:val="bottom"/>
          </w:tcPr>
          <w:p>
            <w:pPr>
              <w:ind w:left="40"/>
              <w:spacing w:after="0"/>
              <w:rPr>
                <w:sz w:val="20"/>
                <w:szCs w:val="20"/>
                <w:color w:val="auto"/>
              </w:rPr>
            </w:pPr>
            <w:r>
              <w:rPr>
                <w:rFonts w:ascii="Arial" w:cs="Arial" w:eastAsia="Arial" w:hAnsi="Arial"/>
                <w:sz w:val="14"/>
                <w:szCs w:val="14"/>
                <w:color w:val="auto"/>
              </w:rPr>
              <w:t>- 3 -</w:t>
            </w:r>
          </w:p>
        </w:tc>
      </w:tr>
      <w:tr>
        <w:trPr>
          <w:trHeight w:val="588"/>
        </w:trPr>
        <w:tc>
          <w:tcPr>
            <w:tcW w:w="1140" w:type="dxa"/>
            <w:vAlign w:val="bottom"/>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c>
          <w:tcPr>
            <w:tcW w:w="520" w:type="dxa"/>
            <w:vAlign w:val="bottom"/>
          </w:tcPr>
          <w:p>
            <w:pPr>
              <w:spacing w:after="0"/>
              <w:rPr>
                <w:sz w:val="24"/>
                <w:szCs w:val="24"/>
                <w:color w:val="auto"/>
              </w:rPr>
            </w:pPr>
          </w:p>
        </w:tc>
      </w:tr>
      <w:tr>
        <w:trPr>
          <w:trHeight w:val="233"/>
        </w:trPr>
        <w:tc>
          <w:tcPr>
            <w:tcW w:w="1140" w:type="dxa"/>
            <w:vAlign w:val="bottom"/>
          </w:tcPr>
          <w:p>
            <w:pPr>
              <w:spacing w:after="0"/>
              <w:rPr>
                <w:sz w:val="20"/>
                <w:szCs w:val="20"/>
                <w:color w:val="auto"/>
              </w:rPr>
            </w:pPr>
          </w:p>
        </w:tc>
        <w:tc>
          <w:tcPr>
            <w:tcW w:w="3520" w:type="dxa"/>
            <w:vAlign w:val="bottom"/>
          </w:tcPr>
          <w:p>
            <w:pPr>
              <w:ind w:left="60"/>
              <w:spacing w:after="0"/>
              <w:rPr>
                <w:sz w:val="20"/>
                <w:szCs w:val="20"/>
                <w:color w:val="auto"/>
              </w:rPr>
            </w:pPr>
            <w:r>
              <w:rPr>
                <w:rFonts w:ascii="Arial" w:cs="Arial" w:eastAsia="Arial" w:hAnsi="Arial"/>
                <w:sz w:val="18"/>
                <w:szCs w:val="18"/>
                <w:b w:val="1"/>
                <w:bCs w:val="1"/>
                <w:color w:val="auto"/>
              </w:rPr>
              <w:t>Abschnitt 2:</w:t>
            </w:r>
          </w:p>
        </w:tc>
        <w:tc>
          <w:tcPr>
            <w:tcW w:w="520" w:type="dxa"/>
            <w:vAlign w:val="bottom"/>
          </w:tcPr>
          <w:p>
            <w:pPr>
              <w:spacing w:after="0"/>
              <w:rPr>
                <w:sz w:val="20"/>
                <w:szCs w:val="20"/>
                <w:color w:val="auto"/>
              </w:rPr>
            </w:pPr>
          </w:p>
        </w:tc>
      </w:tr>
      <w:tr>
        <w:trPr>
          <w:trHeight w:val="237"/>
        </w:trPr>
        <w:tc>
          <w:tcPr>
            <w:tcW w:w="1140" w:type="dxa"/>
            <w:vAlign w:val="bottom"/>
          </w:tcPr>
          <w:p>
            <w:pPr>
              <w:spacing w:after="0"/>
              <w:rPr>
                <w:sz w:val="20"/>
                <w:szCs w:val="20"/>
                <w:color w:val="auto"/>
              </w:rPr>
            </w:pPr>
          </w:p>
        </w:tc>
        <w:tc>
          <w:tcPr>
            <w:tcW w:w="3520" w:type="dxa"/>
            <w:vAlign w:val="bottom"/>
          </w:tcPr>
          <w:p>
            <w:pPr>
              <w:ind w:left="60"/>
              <w:spacing w:after="0"/>
              <w:rPr>
                <w:sz w:val="20"/>
                <w:szCs w:val="20"/>
                <w:color w:val="auto"/>
              </w:rPr>
            </w:pPr>
            <w:r>
              <w:rPr>
                <w:rFonts w:ascii="Arial" w:cs="Arial" w:eastAsia="Arial" w:hAnsi="Arial"/>
                <w:sz w:val="18"/>
                <w:szCs w:val="18"/>
                <w:i w:val="1"/>
                <w:iCs w:val="1"/>
                <w:color w:val="auto"/>
              </w:rPr>
              <w:t>Aktienkapital</w:t>
            </w:r>
          </w:p>
        </w:tc>
        <w:tc>
          <w:tcPr>
            <w:tcW w:w="520" w:type="dxa"/>
            <w:vAlign w:val="bottom"/>
          </w:tcPr>
          <w:p>
            <w:pPr>
              <w:spacing w:after="0"/>
              <w:rPr>
                <w:sz w:val="20"/>
                <w:szCs w:val="20"/>
                <w:color w:val="auto"/>
              </w:rPr>
            </w:pPr>
          </w:p>
        </w:tc>
      </w:tr>
      <w:tr>
        <w:trPr>
          <w:trHeight w:val="37"/>
        </w:trPr>
        <w:tc>
          <w:tcPr>
            <w:tcW w:w="1140" w:type="dxa"/>
            <w:vAlign w:val="bottom"/>
          </w:tcPr>
          <w:p>
            <w:pPr>
              <w:spacing w:after="0"/>
              <w:rPr>
                <w:sz w:val="3"/>
                <w:szCs w:val="3"/>
                <w:color w:val="auto"/>
              </w:rPr>
            </w:pPr>
          </w:p>
        </w:tc>
        <w:tc>
          <w:tcPr>
            <w:tcW w:w="3520" w:type="dxa"/>
            <w:vAlign w:val="bottom"/>
            <w:tcBorders>
              <w:bottom w:val="single" w:sz="8" w:color="auto"/>
            </w:tcBorders>
          </w:tcPr>
          <w:p>
            <w:pPr>
              <w:spacing w:after="0"/>
              <w:rPr>
                <w:sz w:val="3"/>
                <w:szCs w:val="3"/>
                <w:color w:val="auto"/>
              </w:rPr>
            </w:pPr>
          </w:p>
        </w:tc>
        <w:tc>
          <w:tcPr>
            <w:tcW w:w="520" w:type="dxa"/>
            <w:vAlign w:val="bottom"/>
          </w:tcPr>
          <w:p>
            <w:pPr>
              <w:spacing w:after="0"/>
              <w:rPr>
                <w:sz w:val="3"/>
                <w:szCs w:val="3"/>
                <w:color w:val="auto"/>
              </w:rPr>
            </w:pPr>
          </w:p>
        </w:tc>
      </w:tr>
      <w:tr>
        <w:trPr>
          <w:trHeight w:val="275"/>
        </w:trPr>
        <w:tc>
          <w:tcPr>
            <w:tcW w:w="1140" w:type="dxa"/>
            <w:vAlign w:val="bottom"/>
          </w:tcPr>
          <w:p>
            <w:pPr>
              <w:spacing w:after="0"/>
              <w:rPr>
                <w:sz w:val="23"/>
                <w:szCs w:val="23"/>
                <w:color w:val="auto"/>
              </w:rPr>
            </w:pPr>
          </w:p>
        </w:tc>
        <w:tc>
          <w:tcPr>
            <w:tcW w:w="3520" w:type="dxa"/>
            <w:vAlign w:val="bottom"/>
          </w:tcPr>
          <w:p>
            <w:pPr>
              <w:ind w:left="60"/>
              <w:spacing w:after="0"/>
              <w:rPr>
                <w:sz w:val="20"/>
                <w:szCs w:val="20"/>
                <w:color w:val="auto"/>
              </w:rPr>
            </w:pPr>
            <w:r>
              <w:rPr>
                <w:rFonts w:ascii="Arial" w:cs="Arial" w:eastAsia="Arial" w:hAnsi="Arial"/>
                <w:sz w:val="18"/>
                <w:szCs w:val="18"/>
                <w:b w:val="1"/>
                <w:bCs w:val="1"/>
                <w:color w:val="auto"/>
              </w:rPr>
              <w:t>Artikel 4</w:t>
            </w:r>
          </w:p>
        </w:tc>
        <w:tc>
          <w:tcPr>
            <w:tcW w:w="520" w:type="dxa"/>
            <w:vAlign w:val="bottom"/>
          </w:tcPr>
          <w:p>
            <w:pPr>
              <w:spacing w:after="0"/>
              <w:rPr>
                <w:sz w:val="23"/>
                <w:szCs w:val="23"/>
                <w:color w:val="auto"/>
              </w:rPr>
            </w:pPr>
          </w:p>
        </w:tc>
      </w:tr>
      <w:tr>
        <w:trPr>
          <w:trHeight w:val="353"/>
        </w:trPr>
        <w:tc>
          <w:tcPr>
            <w:tcW w:w="1140" w:type="dxa"/>
            <w:vAlign w:val="bottom"/>
          </w:tcPr>
          <w:p>
            <w:pPr>
              <w:spacing w:after="0"/>
              <w:rPr>
                <w:sz w:val="20"/>
                <w:szCs w:val="20"/>
                <w:color w:val="auto"/>
              </w:rPr>
            </w:pPr>
            <w:r>
              <w:rPr>
                <w:rFonts w:ascii="Arial" w:cs="Arial" w:eastAsia="Arial" w:hAnsi="Arial"/>
                <w:sz w:val="14"/>
                <w:szCs w:val="14"/>
                <w:color w:val="auto"/>
              </w:rPr>
              <w:t>Aktienkapital</w:t>
            </w:r>
          </w:p>
        </w:tc>
        <w:tc>
          <w:tcPr>
            <w:tcW w:w="3520" w:type="dxa"/>
            <w:vAlign w:val="bottom"/>
          </w:tcPr>
          <w:p>
            <w:pPr>
              <w:ind w:left="60"/>
              <w:spacing w:after="0"/>
              <w:rPr>
                <w:sz w:val="20"/>
                <w:szCs w:val="20"/>
                <w:color w:val="auto"/>
              </w:rPr>
            </w:pPr>
            <w:r>
              <w:rPr>
                <w:rFonts w:ascii="Arial" w:cs="Arial" w:eastAsia="Arial" w:hAnsi="Arial"/>
                <w:sz w:val="18"/>
                <w:szCs w:val="18"/>
                <w:color w:val="auto"/>
              </w:rPr>
              <w:t>Das Aktienkapital der Gesellschaft beträgt</w:t>
            </w:r>
          </w:p>
        </w:tc>
        <w:tc>
          <w:tcPr>
            <w:tcW w:w="520" w:type="dxa"/>
            <w:vAlign w:val="bottom"/>
          </w:tcPr>
          <w:p>
            <w:pPr>
              <w:ind w:left="60"/>
              <w:spacing w:after="0"/>
              <w:rPr>
                <w:sz w:val="20"/>
                <w:szCs w:val="20"/>
                <w:color w:val="auto"/>
              </w:rPr>
            </w:pPr>
            <w:r>
              <w:rPr>
                <w:rFonts w:ascii="Arial" w:cs="Arial" w:eastAsia="Arial" w:hAnsi="Arial"/>
                <w:sz w:val="14"/>
                <w:szCs w:val="14"/>
                <w:color w:val="auto"/>
              </w:rPr>
              <w:t>Share</w:t>
            </w:r>
          </w:p>
        </w:tc>
      </w:tr>
      <w:tr>
        <w:trPr>
          <w:trHeight w:val="224"/>
        </w:trPr>
        <w:tc>
          <w:tcPr>
            <w:tcW w:w="1140" w:type="dxa"/>
            <w:vAlign w:val="bottom"/>
          </w:tcPr>
          <w:p>
            <w:pPr>
              <w:spacing w:after="0"/>
              <w:rPr>
                <w:sz w:val="19"/>
                <w:szCs w:val="19"/>
                <w:color w:val="auto"/>
              </w:rPr>
            </w:pPr>
          </w:p>
        </w:tc>
        <w:tc>
          <w:tcPr>
            <w:tcW w:w="3520" w:type="dxa"/>
            <w:vAlign w:val="bottom"/>
          </w:tcPr>
          <w:p>
            <w:pPr>
              <w:ind w:left="60"/>
              <w:spacing w:after="0"/>
              <w:rPr>
                <w:sz w:val="20"/>
                <w:szCs w:val="20"/>
                <w:color w:val="auto"/>
              </w:rPr>
            </w:pPr>
            <w:r>
              <w:rPr>
                <w:rFonts w:ascii="Arial" w:cs="Arial" w:eastAsia="Arial" w:hAnsi="Arial"/>
                <w:sz w:val="18"/>
                <w:szCs w:val="18"/>
                <w:color w:val="auto"/>
              </w:rPr>
              <w:t>USD 130’400’968.10, eingeteilt in</w:t>
            </w:r>
          </w:p>
        </w:tc>
        <w:tc>
          <w:tcPr>
            <w:tcW w:w="520" w:type="dxa"/>
            <w:vAlign w:val="bottom"/>
          </w:tcPr>
          <w:p>
            <w:pPr>
              <w:ind w:left="60"/>
              <w:spacing w:after="0"/>
              <w:rPr>
                <w:sz w:val="20"/>
                <w:szCs w:val="20"/>
                <w:color w:val="auto"/>
              </w:rPr>
            </w:pPr>
            <w:r>
              <w:rPr>
                <w:rFonts w:ascii="Arial" w:cs="Arial" w:eastAsia="Arial" w:hAnsi="Arial"/>
                <w:sz w:val="14"/>
                <w:szCs w:val="14"/>
                <w:color w:val="auto"/>
              </w:rPr>
              <w:t>Capital</w:t>
            </w:r>
          </w:p>
        </w:tc>
      </w:tr>
      <w:tr>
        <w:trPr>
          <w:trHeight w:val="203"/>
        </w:trPr>
        <w:tc>
          <w:tcPr>
            <w:tcW w:w="1140" w:type="dxa"/>
            <w:vAlign w:val="bottom"/>
          </w:tcPr>
          <w:p>
            <w:pPr>
              <w:spacing w:after="0"/>
              <w:rPr>
                <w:sz w:val="17"/>
                <w:szCs w:val="17"/>
                <w:color w:val="auto"/>
              </w:rPr>
            </w:pPr>
          </w:p>
        </w:tc>
        <w:tc>
          <w:tcPr>
            <w:tcW w:w="3520" w:type="dxa"/>
            <w:vAlign w:val="bottom"/>
          </w:tcPr>
          <w:p>
            <w:pPr>
              <w:ind w:left="60"/>
              <w:spacing w:after="0" w:line="202" w:lineRule="exact"/>
              <w:rPr>
                <w:sz w:val="20"/>
                <w:szCs w:val="20"/>
                <w:color w:val="auto"/>
              </w:rPr>
            </w:pPr>
            <w:r>
              <w:rPr>
                <w:rFonts w:ascii="Arial" w:cs="Arial" w:eastAsia="Arial" w:hAnsi="Arial"/>
                <w:sz w:val="18"/>
                <w:szCs w:val="18"/>
                <w:color w:val="auto"/>
              </w:rPr>
              <w:t>1’304’009’681 voll liberierte Namenaktien.</w:t>
            </w:r>
          </w:p>
        </w:tc>
        <w:tc>
          <w:tcPr>
            <w:tcW w:w="52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3520" w:type="dxa"/>
            <w:vAlign w:val="bottom"/>
          </w:tcPr>
          <w:p>
            <w:pPr>
              <w:ind w:left="60"/>
              <w:spacing w:after="0" w:line="202" w:lineRule="exact"/>
              <w:rPr>
                <w:sz w:val="20"/>
                <w:szCs w:val="20"/>
                <w:color w:val="auto"/>
              </w:rPr>
            </w:pPr>
            <w:r>
              <w:rPr>
                <w:rFonts w:ascii="Arial" w:cs="Arial" w:eastAsia="Arial" w:hAnsi="Arial"/>
                <w:sz w:val="18"/>
                <w:szCs w:val="18"/>
                <w:color w:val="auto"/>
              </w:rPr>
              <w:t>Jede Namenaktie hat einen Nennwert von</w:t>
            </w:r>
          </w:p>
        </w:tc>
        <w:tc>
          <w:tcPr>
            <w:tcW w:w="52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3520" w:type="dxa"/>
            <w:vAlign w:val="bottom"/>
          </w:tcPr>
          <w:p>
            <w:pPr>
              <w:ind w:left="60"/>
              <w:spacing w:after="0" w:line="202" w:lineRule="exact"/>
              <w:rPr>
                <w:sz w:val="20"/>
                <w:szCs w:val="20"/>
                <w:color w:val="auto"/>
              </w:rPr>
            </w:pPr>
            <w:r>
              <w:rPr>
                <w:rFonts w:ascii="Arial" w:cs="Arial" w:eastAsia="Arial" w:hAnsi="Arial"/>
                <w:sz w:val="18"/>
                <w:szCs w:val="18"/>
                <w:color w:val="auto"/>
              </w:rPr>
              <w:t>USD 0.10 (jede Namenaktie nachfolgend</w:t>
            </w:r>
          </w:p>
        </w:tc>
        <w:tc>
          <w:tcPr>
            <w:tcW w:w="520" w:type="dxa"/>
            <w:vAlign w:val="bottom"/>
          </w:tcPr>
          <w:p>
            <w:pPr>
              <w:spacing w:after="0"/>
              <w:rPr>
                <w:sz w:val="17"/>
                <w:szCs w:val="17"/>
                <w:color w:val="auto"/>
              </w:rPr>
            </w:pPr>
          </w:p>
        </w:tc>
      </w:tr>
      <w:tr>
        <w:trPr>
          <w:trHeight w:val="247"/>
        </w:trPr>
        <w:tc>
          <w:tcPr>
            <w:tcW w:w="1140" w:type="dxa"/>
            <w:vAlign w:val="bottom"/>
          </w:tcPr>
          <w:p>
            <w:pPr>
              <w:spacing w:after="0"/>
              <w:rPr>
                <w:sz w:val="21"/>
                <w:szCs w:val="21"/>
                <w:color w:val="auto"/>
              </w:rPr>
            </w:pPr>
          </w:p>
        </w:tc>
        <w:tc>
          <w:tcPr>
            <w:tcW w:w="3520" w:type="dxa"/>
            <w:vAlign w:val="bottom"/>
          </w:tcPr>
          <w:p>
            <w:pPr>
              <w:ind w:left="60"/>
              <w:spacing w:after="0"/>
              <w:rPr>
                <w:sz w:val="20"/>
                <w:szCs w:val="20"/>
                <w:color w:val="auto"/>
              </w:rPr>
            </w:pPr>
            <w:r>
              <w:rPr>
                <w:rFonts w:ascii="Arial" w:cs="Arial" w:eastAsia="Arial" w:hAnsi="Arial"/>
                <w:sz w:val="18"/>
                <w:szCs w:val="18"/>
                <w:color w:val="auto"/>
              </w:rPr>
              <w:t xml:space="preserve">bezeichnet als </w:t>
            </w:r>
            <w:r>
              <w:rPr>
                <w:rFonts w:ascii="Arial" w:cs="Arial" w:eastAsia="Arial" w:hAnsi="Arial"/>
                <w:sz w:val="18"/>
                <w:szCs w:val="18"/>
                <w:b w:val="1"/>
                <w:bCs w:val="1"/>
                <w:color w:val="auto"/>
              </w:rPr>
              <w:t>Aktie</w:t>
            </w:r>
            <w:r>
              <w:rPr>
                <w:rFonts w:ascii="Arial" w:cs="Arial" w:eastAsia="Arial" w:hAnsi="Arial"/>
                <w:sz w:val="18"/>
                <w:szCs w:val="18"/>
                <w:color w:val="auto"/>
              </w:rPr>
              <w:t xml:space="preserve"> bzw. die </w:t>
            </w:r>
            <w:r>
              <w:rPr>
                <w:rFonts w:ascii="Arial" w:cs="Arial" w:eastAsia="Arial" w:hAnsi="Arial"/>
                <w:sz w:val="18"/>
                <w:szCs w:val="18"/>
                <w:b w:val="1"/>
                <w:bCs w:val="1"/>
                <w:color w:val="auto"/>
              </w:rPr>
              <w:t>Aktien</w:t>
            </w:r>
            <w:r>
              <w:rPr>
                <w:rFonts w:ascii="Arial" w:cs="Arial" w:eastAsia="Arial" w:hAnsi="Arial"/>
                <w:sz w:val="18"/>
                <w:szCs w:val="18"/>
                <w:color w:val="auto"/>
              </w:rPr>
              <w:t>).</w:t>
            </w:r>
          </w:p>
        </w:tc>
        <w:tc>
          <w:tcPr>
            <w:tcW w:w="520" w:type="dxa"/>
            <w:vAlign w:val="bottom"/>
          </w:tcPr>
          <w:p>
            <w:pPr>
              <w:spacing w:after="0"/>
              <w:rPr>
                <w:sz w:val="21"/>
                <w:szCs w:val="21"/>
                <w:color w:val="auto"/>
              </w:rPr>
            </w:pPr>
          </w:p>
        </w:tc>
      </w:tr>
      <w:tr>
        <w:trPr>
          <w:trHeight w:val="513"/>
        </w:trPr>
        <w:tc>
          <w:tcPr>
            <w:tcW w:w="1140" w:type="dxa"/>
            <w:vAlign w:val="bottom"/>
          </w:tcPr>
          <w:p>
            <w:pPr>
              <w:spacing w:after="0"/>
              <w:rPr>
                <w:sz w:val="24"/>
                <w:szCs w:val="24"/>
                <w:color w:val="auto"/>
              </w:rPr>
            </w:pPr>
          </w:p>
        </w:tc>
        <w:tc>
          <w:tcPr>
            <w:tcW w:w="3520" w:type="dxa"/>
            <w:vAlign w:val="bottom"/>
          </w:tcPr>
          <w:p>
            <w:pPr>
              <w:ind w:left="60"/>
              <w:spacing w:after="0"/>
              <w:rPr>
                <w:sz w:val="20"/>
                <w:szCs w:val="20"/>
                <w:color w:val="auto"/>
              </w:rPr>
            </w:pPr>
            <w:r>
              <w:rPr>
                <w:rFonts w:ascii="Arial" w:cs="Arial" w:eastAsia="Arial" w:hAnsi="Arial"/>
                <w:sz w:val="18"/>
                <w:szCs w:val="18"/>
                <w:b w:val="1"/>
                <w:bCs w:val="1"/>
                <w:color w:val="auto"/>
              </w:rPr>
              <w:t>Artikel 5</w:t>
            </w:r>
          </w:p>
        </w:tc>
        <w:tc>
          <w:tcPr>
            <w:tcW w:w="520" w:type="dxa"/>
            <w:vAlign w:val="bottom"/>
          </w:tcPr>
          <w:p>
            <w:pPr>
              <w:spacing w:after="0"/>
              <w:rPr>
                <w:sz w:val="24"/>
                <w:szCs w:val="24"/>
                <w:color w:val="auto"/>
              </w:rPr>
            </w:pPr>
          </w:p>
        </w:tc>
      </w:tr>
      <w:tr>
        <w:trPr>
          <w:trHeight w:val="366"/>
        </w:trPr>
        <w:tc>
          <w:tcPr>
            <w:tcW w:w="1140" w:type="dxa"/>
            <w:vAlign w:val="bottom"/>
          </w:tcPr>
          <w:p>
            <w:pPr>
              <w:spacing w:after="0"/>
              <w:rPr>
                <w:sz w:val="20"/>
                <w:szCs w:val="20"/>
                <w:color w:val="auto"/>
              </w:rPr>
            </w:pPr>
            <w:r>
              <w:rPr>
                <w:rFonts w:ascii="Arial" w:cs="Arial" w:eastAsia="Arial" w:hAnsi="Arial"/>
                <w:sz w:val="14"/>
                <w:szCs w:val="14"/>
                <w:color w:val="auto"/>
              </w:rPr>
              <w:t>Kapitalband   1</w:t>
            </w:r>
          </w:p>
        </w:tc>
        <w:tc>
          <w:tcPr>
            <w:tcW w:w="3520" w:type="dxa"/>
            <w:vAlign w:val="bottom"/>
          </w:tcPr>
          <w:p>
            <w:pPr>
              <w:ind w:left="60"/>
              <w:spacing w:after="0"/>
              <w:rPr>
                <w:sz w:val="20"/>
                <w:szCs w:val="20"/>
                <w:color w:val="auto"/>
              </w:rPr>
            </w:pPr>
            <w:r>
              <w:rPr>
                <w:rFonts w:ascii="Arial" w:cs="Arial" w:eastAsia="Arial" w:hAnsi="Arial"/>
                <w:sz w:val="18"/>
                <w:szCs w:val="18"/>
                <w:color w:val="auto"/>
              </w:rPr>
              <w:t>Die Gesellschaft verfügt über ein</w:t>
            </w:r>
          </w:p>
        </w:tc>
        <w:tc>
          <w:tcPr>
            <w:tcW w:w="520" w:type="dxa"/>
            <w:vAlign w:val="bottom"/>
          </w:tcPr>
          <w:p>
            <w:pPr>
              <w:ind w:left="60"/>
              <w:spacing w:after="0"/>
              <w:rPr>
                <w:sz w:val="20"/>
                <w:szCs w:val="20"/>
                <w:color w:val="auto"/>
              </w:rPr>
            </w:pPr>
            <w:r>
              <w:rPr>
                <w:rFonts w:ascii="Arial" w:cs="Arial" w:eastAsia="Arial" w:hAnsi="Arial"/>
                <w:sz w:val="14"/>
                <w:szCs w:val="14"/>
                <w:color w:val="auto"/>
              </w:rPr>
              <w:t>Capital</w:t>
            </w:r>
          </w:p>
        </w:tc>
      </w:tr>
      <w:tr>
        <w:trPr>
          <w:trHeight w:val="224"/>
        </w:trPr>
        <w:tc>
          <w:tcPr>
            <w:tcW w:w="1140" w:type="dxa"/>
            <w:vAlign w:val="bottom"/>
          </w:tcPr>
          <w:p>
            <w:pPr>
              <w:spacing w:after="0"/>
              <w:rPr>
                <w:sz w:val="19"/>
                <w:szCs w:val="19"/>
                <w:color w:val="auto"/>
              </w:rPr>
            </w:pPr>
          </w:p>
        </w:tc>
        <w:tc>
          <w:tcPr>
            <w:tcW w:w="3520" w:type="dxa"/>
            <w:vAlign w:val="bottom"/>
          </w:tcPr>
          <w:p>
            <w:pPr>
              <w:ind w:left="60"/>
              <w:spacing w:after="0"/>
              <w:rPr>
                <w:sz w:val="20"/>
                <w:szCs w:val="20"/>
                <w:color w:val="auto"/>
              </w:rPr>
            </w:pPr>
            <w:r>
              <w:rPr>
                <w:rFonts w:ascii="Arial" w:cs="Arial" w:eastAsia="Arial" w:hAnsi="Arial"/>
                <w:sz w:val="18"/>
                <w:szCs w:val="18"/>
                <w:color w:val="auto"/>
              </w:rPr>
              <w:t>Kapitalband zwischen USD</w:t>
            </w:r>
          </w:p>
        </w:tc>
        <w:tc>
          <w:tcPr>
            <w:tcW w:w="520" w:type="dxa"/>
            <w:vAlign w:val="bottom"/>
          </w:tcPr>
          <w:p>
            <w:pPr>
              <w:ind w:left="60"/>
              <w:spacing w:after="0"/>
              <w:rPr>
                <w:sz w:val="20"/>
                <w:szCs w:val="20"/>
                <w:color w:val="auto"/>
              </w:rPr>
            </w:pPr>
            <w:r>
              <w:rPr>
                <w:rFonts w:ascii="Arial" w:cs="Arial" w:eastAsia="Arial" w:hAnsi="Arial"/>
                <w:sz w:val="14"/>
                <w:szCs w:val="14"/>
                <w:color w:val="auto"/>
              </w:rPr>
              <w:t>Band</w:t>
            </w:r>
          </w:p>
        </w:tc>
      </w:tr>
      <w:tr>
        <w:trPr>
          <w:trHeight w:val="203"/>
        </w:trPr>
        <w:tc>
          <w:tcPr>
            <w:tcW w:w="1140" w:type="dxa"/>
            <w:vAlign w:val="bottom"/>
          </w:tcPr>
          <w:p>
            <w:pPr>
              <w:spacing w:after="0"/>
              <w:rPr>
                <w:sz w:val="17"/>
                <w:szCs w:val="17"/>
                <w:color w:val="auto"/>
              </w:rPr>
            </w:pPr>
          </w:p>
        </w:tc>
        <w:tc>
          <w:tcPr>
            <w:tcW w:w="3520" w:type="dxa"/>
            <w:vAlign w:val="bottom"/>
          </w:tcPr>
          <w:p>
            <w:pPr>
              <w:ind w:left="60"/>
              <w:spacing w:after="0" w:line="202" w:lineRule="exact"/>
              <w:rPr>
                <w:sz w:val="20"/>
                <w:szCs w:val="20"/>
                <w:color w:val="auto"/>
              </w:rPr>
            </w:pPr>
            <w:r>
              <w:rPr>
                <w:rFonts w:ascii="Arial" w:cs="Arial" w:eastAsia="Arial" w:hAnsi="Arial"/>
                <w:sz w:val="18"/>
                <w:szCs w:val="18"/>
                <w:color w:val="auto"/>
              </w:rPr>
              <w:t>108'360'871.30 (untere Grenze) und USD</w:t>
            </w:r>
          </w:p>
        </w:tc>
        <w:tc>
          <w:tcPr>
            <w:tcW w:w="52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3520" w:type="dxa"/>
            <w:vAlign w:val="bottom"/>
          </w:tcPr>
          <w:p>
            <w:pPr>
              <w:ind w:left="60"/>
              <w:spacing w:after="0" w:line="202" w:lineRule="exact"/>
              <w:rPr>
                <w:sz w:val="20"/>
                <w:szCs w:val="20"/>
                <w:color w:val="auto"/>
              </w:rPr>
            </w:pPr>
            <w:r>
              <w:rPr>
                <w:rFonts w:ascii="Arial" w:cs="Arial" w:eastAsia="Arial" w:hAnsi="Arial"/>
                <w:sz w:val="18"/>
                <w:szCs w:val="18"/>
                <w:color w:val="auto"/>
              </w:rPr>
              <w:t>144'481'161.70 (obere Grenze). Das</w:t>
            </w:r>
          </w:p>
        </w:tc>
        <w:tc>
          <w:tcPr>
            <w:tcW w:w="52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3520" w:type="dxa"/>
            <w:vAlign w:val="bottom"/>
          </w:tcPr>
          <w:p>
            <w:pPr>
              <w:ind w:left="60"/>
              <w:spacing w:after="0" w:line="202" w:lineRule="exact"/>
              <w:rPr>
                <w:sz w:val="20"/>
                <w:szCs w:val="20"/>
                <w:color w:val="auto"/>
              </w:rPr>
            </w:pPr>
            <w:r>
              <w:rPr>
                <w:rFonts w:ascii="Arial" w:cs="Arial" w:eastAsia="Arial" w:hAnsi="Arial"/>
                <w:sz w:val="18"/>
                <w:szCs w:val="18"/>
                <w:color w:val="auto"/>
              </w:rPr>
              <w:t>Kapitalband kann für die Zwecke und</w:t>
            </w:r>
          </w:p>
        </w:tc>
        <w:tc>
          <w:tcPr>
            <w:tcW w:w="52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3520" w:type="dxa"/>
            <w:vAlign w:val="bottom"/>
          </w:tcPr>
          <w:p>
            <w:pPr>
              <w:ind w:left="60"/>
              <w:spacing w:after="0" w:line="202" w:lineRule="exact"/>
              <w:rPr>
                <w:sz w:val="20"/>
                <w:szCs w:val="20"/>
                <w:color w:val="auto"/>
              </w:rPr>
            </w:pPr>
            <w:r>
              <w:rPr>
                <w:rFonts w:ascii="Arial" w:cs="Arial" w:eastAsia="Arial" w:hAnsi="Arial"/>
                <w:sz w:val="18"/>
                <w:szCs w:val="18"/>
                <w:color w:val="auto"/>
              </w:rPr>
              <w:t>gemäss den Bestimmungen dieses</w:t>
            </w:r>
          </w:p>
        </w:tc>
        <w:tc>
          <w:tcPr>
            <w:tcW w:w="520" w:type="dxa"/>
            <w:vAlign w:val="bottom"/>
          </w:tcPr>
          <w:p>
            <w:pPr>
              <w:spacing w:after="0"/>
              <w:rPr>
                <w:sz w:val="17"/>
                <w:szCs w:val="17"/>
                <w:color w:val="auto"/>
              </w:rPr>
            </w:pPr>
          </w:p>
        </w:tc>
      </w:tr>
      <w:tr>
        <w:trPr>
          <w:trHeight w:val="239"/>
        </w:trPr>
        <w:tc>
          <w:tcPr>
            <w:tcW w:w="1140" w:type="dxa"/>
            <w:vAlign w:val="bottom"/>
          </w:tcPr>
          <w:p>
            <w:pPr>
              <w:spacing w:after="0"/>
              <w:rPr>
                <w:sz w:val="20"/>
                <w:szCs w:val="20"/>
                <w:color w:val="auto"/>
              </w:rPr>
            </w:pPr>
          </w:p>
        </w:tc>
        <w:tc>
          <w:tcPr>
            <w:tcW w:w="3520" w:type="dxa"/>
            <w:vAlign w:val="bottom"/>
          </w:tcPr>
          <w:p>
            <w:pPr>
              <w:ind w:left="60"/>
              <w:spacing w:after="0"/>
              <w:rPr>
                <w:sz w:val="20"/>
                <w:szCs w:val="20"/>
                <w:color w:val="auto"/>
              </w:rPr>
            </w:pPr>
            <w:r>
              <w:rPr>
                <w:rFonts w:ascii="Arial" w:cs="Arial" w:eastAsia="Arial" w:hAnsi="Arial"/>
                <w:sz w:val="18"/>
                <w:szCs w:val="18"/>
                <w:color w:val="auto"/>
              </w:rPr>
              <w:t>Artikels 5 genutzt werden.</w:t>
            </w:r>
          </w:p>
        </w:tc>
        <w:tc>
          <w:tcPr>
            <w:tcW w:w="520" w:type="dxa"/>
            <w:vAlign w:val="bottom"/>
          </w:tcPr>
          <w:p>
            <w:pPr>
              <w:spacing w:after="0"/>
              <w:rPr>
                <w:sz w:val="20"/>
                <w:szCs w:val="20"/>
                <w:color w:val="auto"/>
              </w:rPr>
            </w:pPr>
          </w:p>
        </w:tc>
      </w:tr>
      <w:tr>
        <w:trPr>
          <w:trHeight w:val="318"/>
        </w:trPr>
        <w:tc>
          <w:tcPr>
            <w:tcW w:w="1140" w:type="dxa"/>
            <w:vAlign w:val="bottom"/>
          </w:tcPr>
          <w:p>
            <w:pPr>
              <w:spacing w:after="0"/>
              <w:rPr>
                <w:sz w:val="24"/>
                <w:szCs w:val="24"/>
                <w:color w:val="auto"/>
              </w:rPr>
            </w:pPr>
          </w:p>
        </w:tc>
        <w:tc>
          <w:tcPr>
            <w:tcW w:w="3520" w:type="dxa"/>
            <w:vAlign w:val="bottom"/>
          </w:tcPr>
          <w:p>
            <w:pPr>
              <w:ind w:left="60"/>
              <w:spacing w:after="0"/>
              <w:rPr>
                <w:sz w:val="20"/>
                <w:szCs w:val="20"/>
                <w:color w:val="auto"/>
              </w:rPr>
            </w:pPr>
            <w:r>
              <w:rPr>
                <w:rFonts w:ascii="Arial" w:cs="Arial" w:eastAsia="Arial" w:hAnsi="Arial"/>
                <w:sz w:val="18"/>
                <w:szCs w:val="18"/>
                <w:b w:val="1"/>
                <w:bCs w:val="1"/>
                <w:color w:val="auto"/>
              </w:rPr>
              <w:t>A. Für allgemeine Zwecke</w:t>
            </w:r>
          </w:p>
        </w:tc>
        <w:tc>
          <w:tcPr>
            <w:tcW w:w="5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73"/>
        <w:spacing w:after="0"/>
        <w:rPr>
          <w:sz w:val="20"/>
          <w:szCs w:val="20"/>
          <w:color w:val="auto"/>
        </w:rPr>
      </w:pPr>
      <w:r>
        <w:rPr>
          <w:rFonts w:ascii="Arial" w:cs="Arial" w:eastAsia="Arial" w:hAnsi="Arial"/>
          <w:sz w:val="18"/>
          <w:szCs w:val="18"/>
          <w:b w:val="1"/>
          <w:bCs w:val="1"/>
          <w:color w:val="auto"/>
        </w:rPr>
        <w:t>Section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-161925</wp:posOffset>
            </wp:positionV>
            <wp:extent cx="230568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ind w:left="273"/>
        <w:spacing w:after="0"/>
        <w:rPr>
          <w:sz w:val="20"/>
          <w:szCs w:val="20"/>
          <w:color w:val="auto"/>
        </w:rPr>
      </w:pPr>
      <w:r>
        <w:rPr>
          <w:rFonts w:ascii="Arial" w:cs="Arial" w:eastAsia="Arial" w:hAnsi="Arial"/>
          <w:sz w:val="18"/>
          <w:szCs w:val="18"/>
          <w:i w:val="1"/>
          <w:iCs w:val="1"/>
          <w:color w:val="auto"/>
        </w:rPr>
        <w:t>Share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31750</wp:posOffset>
            </wp:positionV>
            <wp:extent cx="230568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79" w:lineRule="exact"/>
        <w:rPr>
          <w:sz w:val="20"/>
          <w:szCs w:val="20"/>
          <w:color w:val="auto"/>
        </w:rPr>
      </w:pPr>
    </w:p>
    <w:p>
      <w:pPr>
        <w:ind w:left="273"/>
        <w:spacing w:after="0"/>
        <w:rPr>
          <w:sz w:val="20"/>
          <w:szCs w:val="20"/>
          <w:color w:val="auto"/>
        </w:rPr>
      </w:pPr>
      <w:r>
        <w:rPr>
          <w:rFonts w:ascii="Arial" w:cs="Arial" w:eastAsia="Arial" w:hAnsi="Arial"/>
          <w:sz w:val="18"/>
          <w:szCs w:val="18"/>
          <w:b w:val="1"/>
          <w:bCs w:val="1"/>
          <w:color w:val="auto"/>
        </w:rPr>
        <w:t>Article 4</w:t>
      </w:r>
    </w:p>
    <w:p>
      <w:pPr>
        <w:spacing w:after="0" w:line="212" w:lineRule="exact"/>
        <w:rPr>
          <w:sz w:val="20"/>
          <w:szCs w:val="20"/>
          <w:color w:val="auto"/>
        </w:rPr>
      </w:pPr>
    </w:p>
    <w:p>
      <w:pPr>
        <w:ind w:left="273" w:right="100"/>
        <w:spacing w:after="0" w:line="242" w:lineRule="auto"/>
        <w:rPr>
          <w:sz w:val="20"/>
          <w:szCs w:val="20"/>
          <w:color w:val="auto"/>
        </w:rPr>
      </w:pPr>
      <w:r>
        <w:rPr>
          <w:rFonts w:ascii="Arial" w:cs="Arial" w:eastAsia="Arial" w:hAnsi="Arial"/>
          <w:sz w:val="18"/>
          <w:szCs w:val="18"/>
          <w:color w:val="auto"/>
        </w:rPr>
        <w:t xml:space="preserve">The share capital of the Company is USD 130,400,968.10 and is divided into 1,304,009,681 fully paid registered shares. Each registered share has a par value of USD 0.10 (each such registered share hereinafter a </w:t>
      </w:r>
      <w:r>
        <w:rPr>
          <w:rFonts w:ascii="Arial" w:cs="Arial" w:eastAsia="Arial" w:hAnsi="Arial"/>
          <w:sz w:val="18"/>
          <w:szCs w:val="18"/>
          <w:b w:val="1"/>
          <w:bCs w:val="1"/>
          <w:color w:val="auto"/>
        </w:rPr>
        <w:t>Share</w:t>
      </w:r>
      <w:r>
        <w:rPr>
          <w:rFonts w:ascii="Arial" w:cs="Arial" w:eastAsia="Arial" w:hAnsi="Arial"/>
          <w:sz w:val="18"/>
          <w:szCs w:val="18"/>
          <w:color w:val="auto"/>
        </w:rPr>
        <w:t xml:space="preserve"> and collectively the </w:t>
      </w:r>
      <w:r>
        <w:rPr>
          <w:rFonts w:ascii="Arial" w:cs="Arial" w:eastAsia="Arial" w:hAnsi="Arial"/>
          <w:sz w:val="18"/>
          <w:szCs w:val="18"/>
          <w:b w:val="1"/>
          <w:bCs w:val="1"/>
          <w:color w:val="auto"/>
        </w:rPr>
        <w:t>Shares</w:t>
      </w:r>
      <w:r>
        <w:rPr>
          <w:rFonts w:ascii="Arial" w:cs="Arial" w:eastAsia="Arial" w:hAnsi="Arial"/>
          <w:sz w:val="18"/>
          <w:szCs w:val="18"/>
          <w:color w:val="auto"/>
        </w:rPr>
        <w:t>).</w:t>
      </w:r>
    </w:p>
    <w:p>
      <w:pPr>
        <w:spacing w:after="0" w:line="65" w:lineRule="exact"/>
        <w:rPr>
          <w:sz w:val="20"/>
          <w:szCs w:val="20"/>
          <w:color w:val="auto"/>
        </w:rPr>
      </w:pPr>
    </w:p>
    <w:p>
      <w:pPr>
        <w:ind w:left="273"/>
        <w:spacing w:after="0"/>
        <w:rPr>
          <w:sz w:val="20"/>
          <w:szCs w:val="20"/>
          <w:color w:val="auto"/>
        </w:rPr>
      </w:pPr>
      <w:r>
        <w:rPr>
          <w:rFonts w:ascii="Arial" w:cs="Arial" w:eastAsia="Arial" w:hAnsi="Arial"/>
          <w:sz w:val="18"/>
          <w:szCs w:val="18"/>
          <w:b w:val="1"/>
          <w:bCs w:val="1"/>
          <w:color w:val="auto"/>
        </w:rPr>
        <w:t>Article 5</w:t>
      </w:r>
    </w:p>
    <w:p>
      <w:pPr>
        <w:spacing w:after="0" w:line="225" w:lineRule="exact"/>
        <w:rPr>
          <w:sz w:val="20"/>
          <w:szCs w:val="20"/>
          <w:color w:val="auto"/>
        </w:rPr>
      </w:pPr>
    </w:p>
    <w:p>
      <w:pPr>
        <w:ind w:left="273" w:right="100" w:hanging="273"/>
        <w:spacing w:after="0" w:line="219" w:lineRule="auto"/>
        <w:tabs>
          <w:tab w:leader="none" w:pos="273" w:val="left"/>
        </w:tabs>
        <w:numPr>
          <w:ilvl w:val="0"/>
          <w:numId w:val="19"/>
        </w:numPr>
        <w:rPr>
          <w:rFonts w:ascii="Arial" w:cs="Arial" w:eastAsia="Arial" w:hAnsi="Arial"/>
          <w:sz w:val="29"/>
          <w:szCs w:val="29"/>
          <w:color w:val="auto"/>
          <w:vertAlign w:val="superscript"/>
        </w:rPr>
      </w:pPr>
      <w:r>
        <w:rPr>
          <w:rFonts w:ascii="Arial" w:cs="Arial" w:eastAsia="Arial" w:hAnsi="Arial"/>
          <w:sz w:val="18"/>
          <w:szCs w:val="18"/>
          <w:color w:val="auto"/>
        </w:rPr>
        <w:t>The Company has a capital band ranging from USD 108,360,871.30 (lower limit) to USD 144,481,161.70 (upper limit). The capital band may be used for the purpose of and in accordance with the provisions of this Article 5.</w:t>
      </w:r>
    </w:p>
    <w:p>
      <w:pPr>
        <w:spacing w:after="0" w:line="276" w:lineRule="exact"/>
        <w:rPr>
          <w:rFonts w:ascii="Arial" w:cs="Arial" w:eastAsia="Arial" w:hAnsi="Arial"/>
          <w:sz w:val="29"/>
          <w:szCs w:val="29"/>
          <w:color w:val="auto"/>
          <w:vertAlign w:val="superscript"/>
        </w:rPr>
      </w:pPr>
    </w:p>
    <w:p>
      <w:pPr>
        <w:ind w:left="273"/>
        <w:spacing w:after="0"/>
        <w:rPr>
          <w:rFonts w:ascii="Arial" w:cs="Arial" w:eastAsia="Arial" w:hAnsi="Arial"/>
          <w:sz w:val="29"/>
          <w:szCs w:val="29"/>
          <w:color w:val="auto"/>
          <w:vertAlign w:val="superscript"/>
        </w:rPr>
      </w:pPr>
      <w:r>
        <w:rPr>
          <w:rFonts w:ascii="Arial" w:cs="Arial" w:eastAsia="Arial" w:hAnsi="Arial"/>
          <w:sz w:val="18"/>
          <w:szCs w:val="18"/>
          <w:b w:val="1"/>
          <w:bCs w:val="1"/>
          <w:color w:val="auto"/>
        </w:rPr>
        <w:t>A. For General Purposes</w:t>
      </w:r>
    </w:p>
    <w:p>
      <w:pPr>
        <w:spacing w:after="0" w:line="224" w:lineRule="exact"/>
        <w:rPr>
          <w:sz w:val="20"/>
          <w:szCs w:val="20"/>
          <w:color w:val="auto"/>
        </w:rPr>
      </w:pPr>
    </w:p>
    <w:p>
      <w:pPr>
        <w:sectPr>
          <w:pgSz w:w="11900" w:h="16838" w:orient="portrait"/>
          <w:cols w:equalWidth="0" w:num="2">
            <w:col w:w="5180" w:space="387"/>
            <w:col w:w="3773"/>
          </w:cols>
          <w:pgMar w:left="1220" w:top="670" w:right="1339" w:bottom="1440" w:gutter="0" w:footer="0" w:header="0"/>
        </w:sectPr>
      </w:pPr>
    </w:p>
    <w:p>
      <w:pPr>
        <w:ind w:left="1200" w:right="307" w:hanging="264"/>
        <w:spacing w:after="0" w:line="244" w:lineRule="auto"/>
        <w:tabs>
          <w:tab w:leader="none" w:pos="1200" w:val="left"/>
        </w:tabs>
        <w:numPr>
          <w:ilvl w:val="0"/>
          <w:numId w:val="20"/>
        </w:numPr>
        <w:rPr>
          <w:rFonts w:ascii="Arial" w:cs="Arial" w:eastAsia="Arial" w:hAnsi="Arial"/>
          <w:sz w:val="28"/>
          <w:szCs w:val="28"/>
          <w:color w:val="auto"/>
          <w:vertAlign w:val="superscript"/>
        </w:rPr>
      </w:pPr>
      <w:r>
        <w:rPr>
          <w:rFonts w:ascii="Arial" w:cs="Arial" w:eastAsia="Arial" w:hAnsi="Arial"/>
          <w:sz w:val="17"/>
          <w:szCs w:val="17"/>
          <w:color w:val="auto"/>
        </w:rPr>
        <w:t>Der Verwaltungsrat ist im Rahmen des Kapitalbands gemäss diesem Artikel 5 allgemein ermächtigt, bis zum 22. Mai 2027 das Aktienkapital jederzeit oder von Zeit zu Zeit, einmal oder mehrmals und in beliebigen (Teil)beträgen zu erhöhen oder herabzusetzen oder die Gesellschaft oder eine ihrer Konzerngesellschaften zu veranlassen, direkt oder indirekt Namenaktien mit einem Nennwert von je USD 0.10 zu erwerben (einschliesslich im Rahmen von einem oder mehreren Rückkaufsprogrammen). Eine Kapitalerhöhung kann durch Ausgabe von bis zu 240'801'936 voll zu liberierenden Namenaktien mit einem Nennwert von je USD 0.10 und eine Kapitalherabsetzung durch Vernichtung von bis zu 120'400'968 Namenaktien mit einem Nennwert von je USD 0.10 erfolgen. Weiter kann eine Kapitalerhöhung oder Kapitalherabsetzung im Rahmen des Kapitalbands durch eine Erhöhung oder Herabsetzung des Nennwerts der bestehenden Namenaktien erfolgen, und es kann im Rahmen 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495935</wp:posOffset>
            </wp:positionV>
            <wp:extent cx="629221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273" w:hanging="273"/>
        <w:spacing w:after="0" w:line="230" w:lineRule="auto"/>
        <w:tabs>
          <w:tab w:leader="none" w:pos="273" w:val="left"/>
        </w:tabs>
        <w:numPr>
          <w:ilvl w:val="0"/>
          <w:numId w:val="21"/>
        </w:numPr>
        <w:rPr>
          <w:rFonts w:ascii="Arial" w:cs="Arial" w:eastAsia="Arial" w:hAnsi="Arial"/>
          <w:sz w:val="29"/>
          <w:szCs w:val="29"/>
          <w:color w:val="auto"/>
          <w:vertAlign w:val="superscript"/>
        </w:rPr>
      </w:pPr>
      <w:r>
        <w:rPr>
          <w:rFonts w:ascii="Arial" w:cs="Arial" w:eastAsia="Arial" w:hAnsi="Arial"/>
          <w:sz w:val="18"/>
          <w:szCs w:val="18"/>
          <w:color w:val="auto"/>
        </w:rPr>
        <w:t>The Board of Directors shall be generally authorized, within the capital band pursuant to this Article 5, to increase or reduce the share capital at any time or from time to time, once or several times and in any (partial) amounts, or to cause the Company or any of its group companies to directly or indirectly acquire registered shares with a nominal value of USD 0.10 each (including under one or more share repurchase programs), until May 22, 2027. A capital increase may be effected by issuing up to 240,801,936 fully paid-in registered shares with a nominal value of USD 0.10 each, and a capital reduction by cancelling up to 120,400,968 registered shares with a nominal value of USD 0.10 each. A capital increase or reduction may also be effected within the capital band by an increase or a reduction of the nominal value of the existing Shares, and a simultaneous reduction and re-increase of the share capital may be effected within the capital band.</w:t>
      </w:r>
    </w:p>
    <w:p>
      <w:pPr>
        <w:sectPr>
          <w:pgSz w:w="11900" w:h="16838" w:orient="portrait"/>
          <w:cols w:equalWidth="0" w:num="2">
            <w:col w:w="4847" w:space="720"/>
            <w:col w:w="3773"/>
          </w:cols>
          <w:pgMar w:left="1220" w:top="670" w:right="1339" w:bottom="1440" w:gutter="0" w:footer="0" w:header="0"/>
          <w:type w:val="continuous"/>
        </w:sectPr>
      </w:pPr>
    </w:p>
    <w:bookmarkStart w:id="10" w:name="page11"/>
    <w:bookmarkEnd w:id="10"/>
    <w:p>
      <w:pPr>
        <w:jc w:val="right"/>
        <w:spacing w:after="0"/>
        <w:rPr>
          <w:sz w:val="20"/>
          <w:szCs w:val="20"/>
          <w:color w:val="auto"/>
        </w:rPr>
      </w:pPr>
      <w:r>
        <w:rPr>
          <w:rFonts w:ascii="Arial" w:cs="Arial" w:eastAsia="Arial" w:hAnsi="Arial"/>
          <w:sz w:val="14"/>
          <w:szCs w:val="14"/>
          <w:color w:val="auto"/>
        </w:rPr>
        <w:t>- 4 -</w:t>
      </w:r>
    </w:p>
    <w:p>
      <w:pPr>
        <w:spacing w:after="0" w:line="200" w:lineRule="exact"/>
        <w:rPr>
          <w:sz w:val="20"/>
          <w:szCs w:val="20"/>
          <w:color w:val="auto"/>
        </w:rPr>
      </w:pPr>
    </w:p>
    <w:p>
      <w:pPr>
        <w:spacing w:after="0" w:line="39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Kapitalbands eine gleichzeitige</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Herabsetzung und Wiedererhöhung des</w:t>
      </w:r>
    </w:p>
    <w:p>
      <w:pPr>
        <w:ind w:left="980"/>
        <w:spacing w:after="0"/>
        <w:rPr>
          <w:sz w:val="20"/>
          <w:szCs w:val="20"/>
          <w:color w:val="auto"/>
        </w:rPr>
      </w:pPr>
      <w:r>
        <w:rPr>
          <w:rFonts w:ascii="Arial" w:cs="Arial" w:eastAsia="Arial" w:hAnsi="Arial"/>
          <w:sz w:val="18"/>
          <w:szCs w:val="18"/>
          <w:color w:val="auto"/>
        </w:rPr>
        <w:t>Aktienkapitals erfolgen.</w:t>
      </w:r>
    </w:p>
    <w:p>
      <w:pPr>
        <w:spacing w:after="0" w:line="86" w:lineRule="exact"/>
        <w:rPr>
          <w:sz w:val="20"/>
          <w:szCs w:val="20"/>
          <w:color w:val="auto"/>
        </w:rPr>
      </w:pPr>
    </w:p>
    <w:p>
      <w:pPr>
        <w:ind w:left="980" w:right="320" w:hanging="277"/>
        <w:spacing w:after="0" w:line="244" w:lineRule="auto"/>
        <w:tabs>
          <w:tab w:leader="none" w:pos="980" w:val="left"/>
        </w:tabs>
        <w:numPr>
          <w:ilvl w:val="0"/>
          <w:numId w:val="22"/>
        </w:numPr>
        <w:rPr>
          <w:rFonts w:ascii="Arial" w:cs="Arial" w:eastAsia="Arial" w:hAnsi="Arial"/>
          <w:sz w:val="28"/>
          <w:szCs w:val="28"/>
          <w:color w:val="auto"/>
          <w:vertAlign w:val="superscript"/>
        </w:rPr>
      </w:pPr>
      <w:r>
        <w:rPr>
          <w:rFonts w:ascii="Arial" w:cs="Arial" w:eastAsia="Arial" w:hAnsi="Arial"/>
          <w:sz w:val="17"/>
          <w:szCs w:val="17"/>
          <w:color w:val="auto"/>
        </w:rPr>
        <w:t>Bei einer Erhöhung des Aktienkapitals im Rahmen des Kapitalbands gemäss diesem Abschnitt A von Artikel 5 legt der Verwaltungsrat, soweit erforderlich, den Ausgabebetrag, die Art der Einlagen (einschliesslich Barliberierung, Sacheinlage, Verrechnung und Umwandlung von Reserven oder eines Gewinnvortrags in Aktienkapital), den Zeitpunkt der Ausgabe, die Bedingungen der Bezugsrechtsausübung und den Beginn der Dividendenberechtigung fest. Dabei kann der Verwaltungsrat neue Aktien mittels Festübernahme durch eine Bank, ein Bankenkonsortium oder einen anderen Dritten und anschliessendem Angebot an die bisherigen Aktionäre oder an Dritte (sofern die Bezugsrechte der bisherigen Aktionäre aufgehoben sind oder nicht gültig ausgeübt werden) ausgeben. Der Verwaltungsrat ist ermächtigt, den Handel mit Bezugsrechten zu ermöglichen, zu beschränken oder auszuschliessen. Nicht gültig ausgeübte Bezugsrechte kann der Verwaltungsrat verfallen lassen, oder er kann diese bzw. Aktien, für welche Bezugsrechte eingeräumt, aber nicht gültig ausgeübt werden, zu Marktkonditionen platzieren oder anderweitig im Interesse der Gesellschaft verwenden.</w:t>
      </w:r>
    </w:p>
    <w:p>
      <w:pPr>
        <w:spacing w:after="0" w:line="291" w:lineRule="exact"/>
        <w:rPr>
          <w:sz w:val="20"/>
          <w:szCs w:val="20"/>
          <w:color w:val="auto"/>
        </w:rPr>
      </w:pPr>
    </w:p>
    <w:p>
      <w:pPr>
        <w:ind w:left="980" w:right="380" w:hanging="277"/>
        <w:spacing w:after="0" w:line="224" w:lineRule="auto"/>
        <w:tabs>
          <w:tab w:leader="none" w:pos="980" w:val="left"/>
        </w:tabs>
        <w:numPr>
          <w:ilvl w:val="0"/>
          <w:numId w:val="23"/>
        </w:numPr>
        <w:rPr>
          <w:rFonts w:ascii="Arial" w:cs="Arial" w:eastAsia="Arial" w:hAnsi="Arial"/>
          <w:sz w:val="29"/>
          <w:szCs w:val="29"/>
          <w:color w:val="auto"/>
          <w:vertAlign w:val="superscript"/>
        </w:rPr>
      </w:pPr>
      <w:r>
        <w:rPr>
          <w:rFonts w:ascii="Arial" w:cs="Arial" w:eastAsia="Arial" w:hAnsi="Arial"/>
          <w:sz w:val="18"/>
          <w:szCs w:val="18"/>
          <w:color w:val="auto"/>
        </w:rPr>
        <w:t>Der Verwaltungsrat ist im Fall einer Ausgabe von Aktien im Rahmen des Kapitalbands gemäss diesem Abschnitt A von Artikel 5 ermächtigt, das Bezugsrecht der bisherigen Aktionäre aufzuheben oder zu beschränken und Dritten (einschliesslich einzelnen Aktionären), der Gesellschaft oder einer ihrer Konzerngesellschaften zuzuweisen:</w:t>
      </w:r>
    </w:p>
    <w:p>
      <w:pPr>
        <w:spacing w:after="0" w:line="73" w:lineRule="exact"/>
        <w:rPr>
          <w:rFonts w:ascii="Arial" w:cs="Arial" w:eastAsia="Arial" w:hAnsi="Arial"/>
          <w:sz w:val="29"/>
          <w:szCs w:val="29"/>
          <w:color w:val="auto"/>
          <w:vertAlign w:val="superscript"/>
        </w:rPr>
      </w:pPr>
    </w:p>
    <w:p>
      <w:pPr>
        <w:ind w:left="1360" w:right="500" w:hanging="387"/>
        <w:spacing w:after="0" w:line="275" w:lineRule="auto"/>
        <w:tabs>
          <w:tab w:leader="none" w:pos="1360" w:val="left"/>
        </w:tabs>
        <w:numPr>
          <w:ilvl w:val="1"/>
          <w:numId w:val="23"/>
        </w:numPr>
        <w:rPr>
          <w:rFonts w:ascii="Arial" w:cs="Arial" w:eastAsia="Arial" w:hAnsi="Arial"/>
          <w:sz w:val="17"/>
          <w:szCs w:val="17"/>
          <w:color w:val="auto"/>
        </w:rPr>
      </w:pPr>
      <w:r>
        <w:rPr>
          <w:rFonts w:ascii="Arial" w:cs="Arial" w:eastAsia="Arial" w:hAnsi="Arial"/>
          <w:sz w:val="17"/>
          <w:szCs w:val="17"/>
          <w:color w:val="auto"/>
        </w:rPr>
        <w:t>wenn der Ausgabebetrag der neuen Aktien unter Berücksichtigung des Marktpreises festgesetzt wird; oder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-225425</wp:posOffset>
            </wp:positionH>
            <wp:positionV relativeFrom="paragraph">
              <wp:posOffset>347980</wp:posOffset>
            </wp:positionV>
            <wp:extent cx="629221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73" w:hanging="273"/>
        <w:spacing w:after="0" w:line="231" w:lineRule="auto"/>
        <w:tabs>
          <w:tab w:leader="none" w:pos="273" w:val="left"/>
        </w:tabs>
        <w:numPr>
          <w:ilvl w:val="0"/>
          <w:numId w:val="24"/>
        </w:numPr>
        <w:rPr>
          <w:rFonts w:ascii="Arial" w:cs="Arial" w:eastAsia="Arial" w:hAnsi="Arial"/>
          <w:sz w:val="29"/>
          <w:szCs w:val="29"/>
          <w:color w:val="auto"/>
          <w:vertAlign w:val="superscript"/>
        </w:rPr>
      </w:pPr>
      <w:r>
        <w:rPr>
          <w:rFonts w:ascii="Arial" w:cs="Arial" w:eastAsia="Arial" w:hAnsi="Arial"/>
          <w:sz w:val="18"/>
          <w:szCs w:val="18"/>
          <w:color w:val="auto"/>
        </w:rPr>
        <w:t>In the event of a capital increase within the capital band pursuant to this section A of Article 5, the Board of Directors shall, to the extent necessary, determine the issue price, the type of contribution (including a cash contribution, a contribution in kind, set-off and conversion of reserves or profit carried forward into share capital), the date of issue, the conditions for the exercise of subscription rights and the commencement date for dividend entitlement. The Board of Directors may issue new Shares by means of a firm underwriting through a financial institution, a syndicate of financial institutions or another third party and a subsequent offer of these Shares to the existing shareholders or third parties (if the subscription rights of the existing shareholders have been withdrawn or have not been duly exercised). The Board of Directors is entitled to permit, to restrict or to exclude the trade with subscription rights. The Board of Directors may permit the expiration of subscription rights that have not been duly exercised, or it may place such rights or Shares as to which subscription rights have been granted, but not duly exercised, at market conditions or may use them otherwise in the interest of the Company.</w:t>
      </w:r>
    </w:p>
    <w:p>
      <w:pPr>
        <w:spacing w:after="0" w:line="85" w:lineRule="exact"/>
        <w:rPr>
          <w:sz w:val="20"/>
          <w:szCs w:val="20"/>
          <w:color w:val="auto"/>
        </w:rPr>
      </w:pPr>
    </w:p>
    <w:p>
      <w:pPr>
        <w:ind w:left="273" w:right="40" w:hanging="273"/>
        <w:spacing w:after="0" w:line="235" w:lineRule="auto"/>
        <w:tabs>
          <w:tab w:leader="none" w:pos="273" w:val="left"/>
        </w:tabs>
        <w:numPr>
          <w:ilvl w:val="0"/>
          <w:numId w:val="25"/>
        </w:numPr>
        <w:rPr>
          <w:rFonts w:ascii="Arial" w:cs="Arial" w:eastAsia="Arial" w:hAnsi="Arial"/>
          <w:sz w:val="28"/>
          <w:szCs w:val="28"/>
          <w:color w:val="auto"/>
          <w:vertAlign w:val="superscript"/>
        </w:rPr>
      </w:pPr>
      <w:r>
        <w:rPr>
          <w:rFonts w:ascii="Arial" w:cs="Arial" w:eastAsia="Arial" w:hAnsi="Arial"/>
          <w:sz w:val="17"/>
          <w:szCs w:val="17"/>
          <w:color w:val="auto"/>
        </w:rPr>
        <w:t>In the event of a Share issue within the capital band pursuant to this section A of Article 5 the Board of Directors is further authorized to withdraw or restrict subscription rights of existing shareholders and allocate such rights to third parties (including individual shareholders), the Company or any of its group companies:</w:t>
      </w:r>
    </w:p>
    <w:p>
      <w:pPr>
        <w:spacing w:after="0" w:line="275" w:lineRule="exact"/>
        <w:rPr>
          <w:rFonts w:ascii="Arial" w:cs="Arial" w:eastAsia="Arial" w:hAnsi="Arial"/>
          <w:sz w:val="28"/>
          <w:szCs w:val="28"/>
          <w:color w:val="auto"/>
          <w:vertAlign w:val="superscript"/>
        </w:rPr>
      </w:pPr>
    </w:p>
    <w:p>
      <w:pPr>
        <w:ind w:left="653" w:right="20" w:hanging="383"/>
        <w:spacing w:after="0" w:line="253" w:lineRule="auto"/>
        <w:tabs>
          <w:tab w:leader="none" w:pos="653" w:val="left"/>
        </w:tabs>
        <w:numPr>
          <w:ilvl w:val="1"/>
          <w:numId w:val="25"/>
        </w:numPr>
        <w:rPr>
          <w:rFonts w:ascii="Arial" w:cs="Arial" w:eastAsia="Arial" w:hAnsi="Arial"/>
          <w:sz w:val="18"/>
          <w:szCs w:val="18"/>
          <w:color w:val="auto"/>
        </w:rPr>
      </w:pPr>
      <w:r>
        <w:rPr>
          <w:rFonts w:ascii="Arial" w:cs="Arial" w:eastAsia="Arial" w:hAnsi="Arial"/>
          <w:sz w:val="18"/>
          <w:szCs w:val="18"/>
          <w:color w:val="auto"/>
        </w:rPr>
        <w:t>if the issue price of the new Shares is determined by reference to the market price; or</w:t>
      </w:r>
    </w:p>
    <w:p>
      <w:pPr>
        <w:sectPr>
          <w:pgSz w:w="11900" w:h="16838" w:orient="portrait"/>
          <w:cols w:equalWidth="0" w:num="2">
            <w:col w:w="4720" w:space="667"/>
            <w:col w:w="3713"/>
          </w:cols>
          <w:pgMar w:left="1440" w:top="670" w:right="1359" w:bottom="1440" w:gutter="0" w:footer="0" w:header="0"/>
        </w:sectPr>
      </w:pPr>
    </w:p>
    <w:bookmarkStart w:id="11" w:name="page12"/>
    <w:bookmarkEnd w:id="11"/>
    <w:p>
      <w:pPr>
        <w:jc w:val="right"/>
        <w:spacing w:after="0"/>
        <w:rPr>
          <w:sz w:val="20"/>
          <w:szCs w:val="20"/>
          <w:color w:val="auto"/>
        </w:rPr>
      </w:pPr>
      <w:r>
        <w:rPr>
          <w:rFonts w:ascii="Arial" w:cs="Arial" w:eastAsia="Arial" w:hAnsi="Arial"/>
          <w:sz w:val="14"/>
          <w:szCs w:val="14"/>
          <w:color w:val="auto"/>
        </w:rPr>
        <w:t>- 5 -</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360" w:right="420" w:hanging="387"/>
        <w:spacing w:after="0"/>
        <w:tabs>
          <w:tab w:leader="none" w:pos="13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für die Beschaffung von Eigenkapital auf eine schnelle und flexible Weise, welche ohne den Ausschluss der Bezugsrechte der bisherigen Aktionäre nicht oder nur schwer oder zu wesentlich schlechteren Bedingungen möglich wäre; oder</w:t>
      </w:r>
    </w:p>
    <w:p>
      <w:pPr>
        <w:spacing w:after="0" w:line="76" w:lineRule="exact"/>
        <w:rPr>
          <w:rFonts w:ascii="Arial" w:cs="Arial" w:eastAsia="Arial" w:hAnsi="Arial"/>
          <w:sz w:val="18"/>
          <w:szCs w:val="18"/>
          <w:color w:val="auto"/>
        </w:rPr>
      </w:pPr>
    </w:p>
    <w:p>
      <w:pPr>
        <w:ind w:left="1360" w:right="340" w:hanging="387"/>
        <w:spacing w:after="0" w:line="238" w:lineRule="auto"/>
        <w:tabs>
          <w:tab w:leader="none" w:pos="13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für die Übernahme von Unternehmen, Unternehmensteilen oder Beteiligungen, den Erwerb von Produkten, Immaterialgütern oder Lizenzen durch oder Investitionsvorhaben der Gesellschaft oder einer ihrer Konzerngesellschaften oder für die Finanzierung oder Refinanzierung solcher Transaktionen durch eine Aktienplatzierung; oder</w:t>
      </w:r>
    </w:p>
    <w:p>
      <w:pPr>
        <w:spacing w:after="0" w:line="77" w:lineRule="exact"/>
        <w:rPr>
          <w:rFonts w:ascii="Arial" w:cs="Arial" w:eastAsia="Arial" w:hAnsi="Arial"/>
          <w:sz w:val="18"/>
          <w:szCs w:val="18"/>
          <w:color w:val="auto"/>
        </w:rPr>
      </w:pPr>
    </w:p>
    <w:p>
      <w:pPr>
        <w:ind w:left="1360" w:right="300" w:hanging="387"/>
        <w:spacing w:after="0" w:line="239" w:lineRule="auto"/>
        <w:tabs>
          <w:tab w:leader="none" w:pos="13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zum Zwecke der Erweiterung des Aktionärskreises der Gesellschaft in bestimmten Finanz- oder Investoren-Märkten, zur Beteiligung von strategischen Partnern einschliesslich Finanzinvestoren oder im Zusammenhang mit der Kotierung von neuen Aktien an inländischen oder ausländischen Börsen; oder</w:t>
      </w:r>
    </w:p>
    <w:p>
      <w:pPr>
        <w:spacing w:after="0" w:line="75" w:lineRule="exact"/>
        <w:rPr>
          <w:rFonts w:ascii="Arial" w:cs="Arial" w:eastAsia="Arial" w:hAnsi="Arial"/>
          <w:sz w:val="18"/>
          <w:szCs w:val="18"/>
          <w:color w:val="auto"/>
        </w:rPr>
      </w:pPr>
    </w:p>
    <w:p>
      <w:pPr>
        <w:ind w:left="1360" w:right="460" w:hanging="387"/>
        <w:spacing w:after="0"/>
        <w:tabs>
          <w:tab w:leader="none" w:pos="13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für die Einräumung einer Mehrzuteilungsoption (Greenshoe) von bis zu 20% der zu platzierenden oder zu verkaufenden Aktien an die betreffenden Erstkäufer oder Festübernehmer im Rahmen einer Aktienplatzierung oder eines Aktienverkaufs; oder</w:t>
      </w:r>
    </w:p>
    <w:p>
      <w:pPr>
        <w:spacing w:after="0" w:line="72" w:lineRule="exact"/>
        <w:rPr>
          <w:rFonts w:ascii="Arial" w:cs="Arial" w:eastAsia="Arial" w:hAnsi="Arial"/>
          <w:sz w:val="18"/>
          <w:szCs w:val="18"/>
          <w:color w:val="auto"/>
        </w:rPr>
      </w:pPr>
    </w:p>
    <w:p>
      <w:pPr>
        <w:ind w:left="1360" w:right="320" w:hanging="387"/>
        <w:spacing w:after="0"/>
        <w:tabs>
          <w:tab w:leader="none" w:pos="13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für die Beteiligung von Mitgliedern des Verwaltungsrates, Mitgliedern der Geschäftsleitung, Officers, Arbeitnehmern, Beauftragten, Beratern oder anderen Personen, welche Dienstleistungen für die Gesellschaft oder eine ihrer Konzerngesellschaften erbringen.</w:t>
      </w:r>
    </w:p>
    <w:p>
      <w:pPr>
        <w:spacing w:after="0" w:line="72" w:lineRule="exact"/>
        <w:rPr>
          <w:sz w:val="20"/>
          <w:szCs w:val="20"/>
          <w:color w:val="auto"/>
        </w:rPr>
      </w:pPr>
    </w:p>
    <w:p>
      <w:pPr>
        <w:ind w:left="980" w:right="360" w:hanging="277"/>
        <w:spacing w:after="0" w:line="224" w:lineRule="auto"/>
        <w:tabs>
          <w:tab w:leader="none" w:pos="980" w:val="left"/>
        </w:tabs>
        <w:numPr>
          <w:ilvl w:val="0"/>
          <w:numId w:val="27"/>
        </w:numPr>
        <w:rPr>
          <w:rFonts w:ascii="Arial" w:cs="Arial" w:eastAsia="Arial" w:hAnsi="Arial"/>
          <w:sz w:val="29"/>
          <w:szCs w:val="29"/>
          <w:color w:val="auto"/>
          <w:vertAlign w:val="superscript"/>
        </w:rPr>
      </w:pPr>
      <w:r>
        <w:rPr>
          <w:rFonts w:ascii="Arial" w:cs="Arial" w:eastAsia="Arial" w:hAnsi="Arial"/>
          <w:sz w:val="18"/>
          <w:szCs w:val="18"/>
          <w:color w:val="auto"/>
        </w:rPr>
        <w:t>Bei einer Herabsetzung des Aktienkapitals im Rahmen des Kapitalbands legt der Verwaltungsrat die Verwendung des Herabsetzungsbetrags fest. Der Verwaltungsrat kann insbesondere, ohne Einschränkung, (a) den Herabsetzungsbetrag den Aktionären der Gesellschaft zurückzahlen oder in Fremdkapital umwandeln bzw. 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-225425</wp:posOffset>
            </wp:positionH>
            <wp:positionV relativeFrom="paragraph">
              <wp:posOffset>367665</wp:posOffset>
            </wp:positionV>
            <wp:extent cx="629221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653" w:right="120" w:hanging="383"/>
        <w:spacing w:after="0"/>
        <w:tabs>
          <w:tab w:leader="none" w:pos="653"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 raising equity capital in a fast and flexible manner, which would not be possible, or would only be possible with great difficulty or at significantly less favorable conditions, without the exclusion of the subscription rights of existing shareholders; or</w:t>
      </w:r>
    </w:p>
    <w:p>
      <w:pPr>
        <w:spacing w:after="0" w:line="76" w:lineRule="exact"/>
        <w:rPr>
          <w:rFonts w:ascii="Arial" w:cs="Arial" w:eastAsia="Arial" w:hAnsi="Arial"/>
          <w:sz w:val="18"/>
          <w:szCs w:val="18"/>
          <w:color w:val="auto"/>
        </w:rPr>
      </w:pPr>
    </w:p>
    <w:p>
      <w:pPr>
        <w:ind w:left="653" w:hanging="383"/>
        <w:spacing w:after="0" w:line="255" w:lineRule="auto"/>
        <w:tabs>
          <w:tab w:leader="none" w:pos="653" w:val="left"/>
        </w:tabs>
        <w:numPr>
          <w:ilvl w:val="0"/>
          <w:numId w:val="28"/>
        </w:numPr>
        <w:rPr>
          <w:rFonts w:ascii="Arial" w:cs="Arial" w:eastAsia="Arial" w:hAnsi="Arial"/>
          <w:sz w:val="17"/>
          <w:szCs w:val="17"/>
          <w:color w:val="auto"/>
        </w:rPr>
      </w:pPr>
      <w:r>
        <w:rPr>
          <w:rFonts w:ascii="Arial" w:cs="Arial" w:eastAsia="Arial" w:hAnsi="Arial"/>
          <w:sz w:val="17"/>
          <w:szCs w:val="17"/>
          <w:color w:val="auto"/>
        </w:rPr>
        <w:t>for the acquisition of companies, part(s) of companies or participations, for the acquisition of products, intellectual property or licenses by or for investment projects of the Company or any of its group companies, or for the financing or refinancing of any of such transactions through a placement of Shares; or</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73" w:lineRule="exact"/>
        <w:rPr>
          <w:rFonts w:ascii="Arial" w:cs="Arial" w:eastAsia="Arial" w:hAnsi="Arial"/>
          <w:sz w:val="17"/>
          <w:szCs w:val="17"/>
          <w:color w:val="auto"/>
        </w:rPr>
      </w:pPr>
    </w:p>
    <w:p>
      <w:pPr>
        <w:ind w:left="653" w:right="140" w:hanging="383"/>
        <w:spacing w:after="0" w:line="239" w:lineRule="auto"/>
        <w:tabs>
          <w:tab w:leader="none" w:pos="653"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 purposes of broadening the shareholder constituency of the Company in certain financial or investor markets, for purposes of the participation of strategic partners, including financial investors, or in connection with the listing of new Shares on domestic or foreign stock exchanges; or</w:t>
      </w:r>
    </w:p>
    <w:p>
      <w:pPr>
        <w:spacing w:after="0" w:line="75" w:lineRule="exact"/>
        <w:rPr>
          <w:rFonts w:ascii="Arial" w:cs="Arial" w:eastAsia="Arial" w:hAnsi="Arial"/>
          <w:sz w:val="18"/>
          <w:szCs w:val="18"/>
          <w:color w:val="auto"/>
        </w:rPr>
      </w:pPr>
    </w:p>
    <w:p>
      <w:pPr>
        <w:ind w:left="653" w:hanging="383"/>
        <w:spacing w:after="0" w:line="242" w:lineRule="auto"/>
        <w:tabs>
          <w:tab w:leader="none" w:pos="653"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 purposes of granting an over-allotment option (Greenshoe) of up to 20% of the total number of Shares in a placement or sale of Shares to the respective initial purchaser(s) or underwriter(s); or</w:t>
      </w:r>
    </w:p>
    <w:p>
      <w:pPr>
        <w:spacing w:after="0" w:line="200" w:lineRule="exact"/>
        <w:rPr>
          <w:rFonts w:ascii="Arial" w:cs="Arial" w:eastAsia="Arial" w:hAnsi="Arial"/>
          <w:sz w:val="18"/>
          <w:szCs w:val="18"/>
          <w:color w:val="auto"/>
        </w:rPr>
      </w:pPr>
    </w:p>
    <w:p>
      <w:pPr>
        <w:spacing w:after="0" w:line="275" w:lineRule="exact"/>
        <w:rPr>
          <w:rFonts w:ascii="Arial" w:cs="Arial" w:eastAsia="Arial" w:hAnsi="Arial"/>
          <w:sz w:val="18"/>
          <w:szCs w:val="18"/>
          <w:color w:val="auto"/>
        </w:rPr>
      </w:pPr>
    </w:p>
    <w:p>
      <w:pPr>
        <w:ind w:left="653" w:right="20" w:hanging="383"/>
        <w:spacing w:after="0"/>
        <w:tabs>
          <w:tab w:leader="none" w:pos="653"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 the participation of members of the board of directors, members of the executive management team, officers, employees, contractors, consultants or other persons providing services to the Company or any of its group companies.</w:t>
      </w:r>
    </w:p>
    <w:p>
      <w:pPr>
        <w:spacing w:after="0" w:line="279" w:lineRule="exact"/>
        <w:rPr>
          <w:sz w:val="20"/>
          <w:szCs w:val="20"/>
          <w:color w:val="auto"/>
        </w:rPr>
      </w:pPr>
    </w:p>
    <w:p>
      <w:pPr>
        <w:ind w:left="273" w:right="20" w:hanging="273"/>
        <w:spacing w:after="0" w:line="224" w:lineRule="auto"/>
        <w:tabs>
          <w:tab w:leader="none" w:pos="273" w:val="left"/>
        </w:tabs>
        <w:numPr>
          <w:ilvl w:val="0"/>
          <w:numId w:val="29"/>
        </w:numPr>
        <w:rPr>
          <w:rFonts w:ascii="Arial" w:cs="Arial" w:eastAsia="Arial" w:hAnsi="Arial"/>
          <w:sz w:val="29"/>
          <w:szCs w:val="29"/>
          <w:color w:val="auto"/>
          <w:vertAlign w:val="superscript"/>
        </w:rPr>
      </w:pPr>
      <w:r>
        <w:rPr>
          <w:rFonts w:ascii="Arial" w:cs="Arial" w:eastAsia="Arial" w:hAnsi="Arial"/>
          <w:sz w:val="18"/>
          <w:szCs w:val="18"/>
          <w:color w:val="auto"/>
        </w:rPr>
        <w:t>In the event of a reduction of the share capital within the capital band, the Board shall determine the use of the reduction amount. In particular, the Board may, without limitation, (a) repay the reduction amount to the Company's shareholders or convert it into debt and keep it as a liability, respectively, or offset it against a counterclaim, (b)</w:t>
      </w:r>
    </w:p>
    <w:p>
      <w:pPr>
        <w:sectPr>
          <w:pgSz w:w="11900" w:h="16838" w:orient="portrait"/>
          <w:cols w:equalWidth="0" w:num="2">
            <w:col w:w="4720" w:space="667"/>
            <w:col w:w="3713"/>
          </w:cols>
          <w:pgMar w:left="1440" w:top="670" w:right="1359" w:bottom="1440" w:gutter="0" w:footer="0" w:header="0"/>
        </w:sectPr>
      </w:pPr>
    </w:p>
    <w:bookmarkStart w:id="12" w:name="page13"/>
    <w:bookmarkEnd w:id="12"/>
    <w:p>
      <w:pPr>
        <w:jc w:val="right"/>
        <w:spacing w:after="0"/>
        <w:rPr>
          <w:sz w:val="20"/>
          <w:szCs w:val="20"/>
          <w:color w:val="auto"/>
        </w:rPr>
      </w:pPr>
      <w:r>
        <w:rPr>
          <w:rFonts w:ascii="Arial" w:cs="Arial" w:eastAsia="Arial" w:hAnsi="Arial"/>
          <w:sz w:val="14"/>
          <w:szCs w:val="14"/>
          <w:color w:val="auto"/>
        </w:rPr>
        <w:t>- 6 -</w:t>
      </w:r>
    </w:p>
    <w:p>
      <w:pPr>
        <w:spacing w:after="0" w:line="200" w:lineRule="exact"/>
        <w:rPr>
          <w:sz w:val="20"/>
          <w:szCs w:val="20"/>
          <w:color w:val="auto"/>
        </w:rPr>
      </w:pPr>
    </w:p>
    <w:p>
      <w:pPr>
        <w:spacing w:after="0" w:line="399" w:lineRule="exact"/>
        <w:rPr>
          <w:sz w:val="20"/>
          <w:szCs w:val="20"/>
          <w:color w:val="auto"/>
        </w:rPr>
      </w:pPr>
    </w:p>
    <w:p>
      <w:pPr>
        <w:ind w:left="980" w:right="340"/>
        <w:spacing w:after="0" w:line="253" w:lineRule="auto"/>
        <w:rPr>
          <w:sz w:val="20"/>
          <w:szCs w:val="20"/>
          <w:color w:val="auto"/>
        </w:rPr>
      </w:pPr>
      <w:r>
        <w:rPr>
          <w:rFonts w:ascii="Arial" w:cs="Arial" w:eastAsia="Arial" w:hAnsi="Arial"/>
          <w:sz w:val="17"/>
          <w:szCs w:val="17"/>
          <w:color w:val="auto"/>
        </w:rPr>
        <w:t>Schuld stehen lassen oder mit einer Gegenforderung verrechnen, (b) den Herabsetzungsbetrag dem Eigenkapital zuweisen, und/oder (c) den Herabsetzungsbetrag zur teilweisen oder vollständigen Beseitigung einer Unterbilanz gemäss Art. 653p OR verwenden. Der Verwaltungsrat kann auch das Aktienkapital gemäss Art. 653q OR gleichzeitig herabsetzen und mindestens auf den bisherigen Betrag erhöhen.</w:t>
      </w:r>
    </w:p>
    <w:p>
      <w:pPr>
        <w:spacing w:after="0" w:line="69"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B. Für Beteiligungspläne</w:t>
      </w:r>
    </w:p>
    <w:p>
      <w:pPr>
        <w:spacing w:after="0" w:line="130" w:lineRule="exact"/>
        <w:rPr>
          <w:sz w:val="20"/>
          <w:szCs w:val="20"/>
          <w:color w:val="auto"/>
        </w:rPr>
      </w:pPr>
    </w:p>
    <w:p>
      <w:pPr>
        <w:ind w:left="980" w:hanging="291"/>
        <w:spacing w:after="0"/>
        <w:tabs>
          <w:tab w:leader="none" w:pos="980" w:val="left"/>
        </w:tabs>
        <w:numPr>
          <w:ilvl w:val="0"/>
          <w:numId w:val="30"/>
        </w:numPr>
        <w:rPr>
          <w:rFonts w:ascii="Arial" w:cs="Arial" w:eastAsia="Arial" w:hAnsi="Arial"/>
          <w:sz w:val="29"/>
          <w:szCs w:val="29"/>
          <w:color w:val="auto"/>
          <w:vertAlign w:val="superscript"/>
        </w:rPr>
      </w:pPr>
      <w:r>
        <w:rPr>
          <w:rFonts w:ascii="Arial" w:cs="Arial" w:eastAsia="Arial" w:hAnsi="Arial"/>
          <w:sz w:val="18"/>
          <w:szCs w:val="18"/>
          <w:color w:val="auto"/>
        </w:rPr>
        <w:t>[ausgelassen]</w:t>
      </w:r>
    </w:p>
    <w:p>
      <w:pPr>
        <w:spacing w:after="0" w:line="99" w:lineRule="exact"/>
        <w:rPr>
          <w:sz w:val="20"/>
          <w:szCs w:val="20"/>
          <w:color w:val="auto"/>
        </w:rPr>
      </w:pPr>
    </w:p>
    <w:p>
      <w:pPr>
        <w:ind w:left="980" w:hanging="291"/>
        <w:spacing w:after="0"/>
        <w:tabs>
          <w:tab w:leader="none" w:pos="980" w:val="left"/>
        </w:tabs>
        <w:numPr>
          <w:ilvl w:val="0"/>
          <w:numId w:val="31"/>
        </w:numPr>
        <w:rPr>
          <w:rFonts w:ascii="Arial" w:cs="Arial" w:eastAsia="Arial" w:hAnsi="Arial"/>
          <w:sz w:val="29"/>
          <w:szCs w:val="29"/>
          <w:color w:val="auto"/>
          <w:vertAlign w:val="superscript"/>
        </w:rPr>
      </w:pPr>
      <w:r>
        <w:rPr>
          <w:rFonts w:ascii="Arial" w:cs="Arial" w:eastAsia="Arial" w:hAnsi="Arial"/>
          <w:sz w:val="18"/>
          <w:szCs w:val="18"/>
          <w:color w:val="auto"/>
        </w:rPr>
        <w:t>[ausgelassen]</w:t>
      </w:r>
    </w:p>
    <w:p>
      <w:pPr>
        <w:spacing w:after="0" w:line="99" w:lineRule="exact"/>
        <w:rPr>
          <w:sz w:val="20"/>
          <w:szCs w:val="20"/>
          <w:color w:val="auto"/>
        </w:rPr>
      </w:pPr>
    </w:p>
    <w:p>
      <w:pPr>
        <w:ind w:left="980" w:hanging="291"/>
        <w:spacing w:after="0"/>
        <w:tabs>
          <w:tab w:leader="none" w:pos="980" w:val="left"/>
        </w:tabs>
        <w:numPr>
          <w:ilvl w:val="0"/>
          <w:numId w:val="32"/>
        </w:numPr>
        <w:rPr>
          <w:rFonts w:ascii="Arial" w:cs="Arial" w:eastAsia="Arial" w:hAnsi="Arial"/>
          <w:sz w:val="29"/>
          <w:szCs w:val="29"/>
          <w:color w:val="auto"/>
          <w:vertAlign w:val="superscript"/>
        </w:rPr>
      </w:pPr>
      <w:r>
        <w:rPr>
          <w:rFonts w:ascii="Arial" w:cs="Arial" w:eastAsia="Arial" w:hAnsi="Arial"/>
          <w:sz w:val="18"/>
          <w:szCs w:val="18"/>
          <w:color w:val="auto"/>
        </w:rPr>
        <w:t>[ausgelassen]</w:t>
      </w:r>
    </w:p>
    <w:p>
      <w:pPr>
        <w:spacing w:after="0" w:line="193" w:lineRule="exact"/>
        <w:rPr>
          <w:rFonts w:ascii="Arial" w:cs="Arial" w:eastAsia="Arial" w:hAnsi="Arial"/>
          <w:sz w:val="29"/>
          <w:szCs w:val="29"/>
          <w:color w:val="auto"/>
          <w:vertAlign w:val="superscript"/>
        </w:rPr>
      </w:pPr>
    </w:p>
    <w:p>
      <w:pPr>
        <w:ind w:left="980"/>
        <w:spacing w:after="0"/>
        <w:rPr>
          <w:rFonts w:ascii="Arial" w:cs="Arial" w:eastAsia="Arial" w:hAnsi="Arial"/>
          <w:sz w:val="29"/>
          <w:szCs w:val="29"/>
          <w:color w:val="auto"/>
          <w:vertAlign w:val="superscript"/>
        </w:rPr>
      </w:pPr>
      <w:r>
        <w:rPr>
          <w:rFonts w:ascii="Arial" w:cs="Arial" w:eastAsia="Arial" w:hAnsi="Arial"/>
          <w:sz w:val="18"/>
          <w:szCs w:val="18"/>
          <w:b w:val="1"/>
          <w:bCs w:val="1"/>
          <w:color w:val="auto"/>
        </w:rPr>
        <w:t>C. Allgemeine Bestimmungen</w:t>
      </w:r>
    </w:p>
    <w:p>
      <w:pPr>
        <w:spacing w:after="0" w:line="225" w:lineRule="exact"/>
        <w:rPr>
          <w:sz w:val="20"/>
          <w:szCs w:val="20"/>
          <w:color w:val="auto"/>
        </w:rPr>
      </w:pPr>
    </w:p>
    <w:p>
      <w:pPr>
        <w:ind w:left="980" w:right="320" w:hanging="291"/>
        <w:spacing w:after="0" w:line="216" w:lineRule="auto"/>
        <w:tabs>
          <w:tab w:leader="none" w:pos="980" w:val="left"/>
        </w:tabs>
        <w:numPr>
          <w:ilvl w:val="0"/>
          <w:numId w:val="33"/>
        </w:numPr>
        <w:rPr>
          <w:rFonts w:ascii="Arial" w:cs="Arial" w:eastAsia="Arial" w:hAnsi="Arial"/>
          <w:sz w:val="29"/>
          <w:szCs w:val="29"/>
          <w:color w:val="auto"/>
          <w:vertAlign w:val="superscript"/>
        </w:rPr>
      </w:pPr>
      <w:r>
        <w:rPr>
          <w:rFonts w:ascii="Arial" w:cs="Arial" w:eastAsia="Arial" w:hAnsi="Arial"/>
          <w:sz w:val="18"/>
          <w:szCs w:val="18"/>
          <w:color w:val="auto"/>
        </w:rPr>
        <w:t>Nach einer Nennwertveränderung im Rahmen des Kapitalbands gemäss diesem Artikel 5 sind neue Aktien mit gleichem Nennwert auszugeben wie die bestehenden Aktien.</w:t>
      </w:r>
    </w:p>
    <w:p>
      <w:pPr>
        <w:spacing w:after="0" w:line="75" w:lineRule="exact"/>
        <w:rPr>
          <w:sz w:val="20"/>
          <w:szCs w:val="20"/>
          <w:color w:val="auto"/>
        </w:rPr>
      </w:pPr>
    </w:p>
    <w:p>
      <w:pPr>
        <w:ind w:left="980" w:right="460" w:hanging="291"/>
        <w:spacing w:after="0" w:line="231" w:lineRule="auto"/>
        <w:tabs>
          <w:tab w:leader="none" w:pos="980" w:val="left"/>
        </w:tabs>
        <w:numPr>
          <w:ilvl w:val="0"/>
          <w:numId w:val="34"/>
        </w:numPr>
        <w:rPr>
          <w:rFonts w:ascii="Arial" w:cs="Arial" w:eastAsia="Arial" w:hAnsi="Arial"/>
          <w:sz w:val="28"/>
          <w:szCs w:val="28"/>
          <w:color w:val="auto"/>
          <w:vertAlign w:val="superscript"/>
        </w:rPr>
      </w:pPr>
      <w:r>
        <w:rPr>
          <w:rFonts w:ascii="Arial" w:cs="Arial" w:eastAsia="Arial" w:hAnsi="Arial"/>
          <w:sz w:val="17"/>
          <w:szCs w:val="17"/>
          <w:color w:val="auto"/>
        </w:rPr>
        <w:t>Erhöht sich das Aktienkapital aufgrund einer bedingten Kapitalerhöhung nach Artikel 6 dieser Statuten, so erhöhen sich die obere und die untere Grenze des Kapitalbands entsprechend dem Umfang der Erhöhung des Aktienkapitals.</w:t>
      </w:r>
    </w:p>
    <w:p>
      <w:pPr>
        <w:spacing w:after="0" w:line="274" w:lineRule="exact"/>
        <w:rPr>
          <w:rFonts w:ascii="Arial" w:cs="Arial" w:eastAsia="Arial" w:hAnsi="Arial"/>
          <w:sz w:val="28"/>
          <w:szCs w:val="28"/>
          <w:color w:val="auto"/>
          <w:vertAlign w:val="superscript"/>
        </w:rPr>
      </w:pPr>
    </w:p>
    <w:p>
      <w:pPr>
        <w:ind w:left="980" w:right="440" w:hanging="291"/>
        <w:spacing w:after="0" w:line="219" w:lineRule="auto"/>
        <w:tabs>
          <w:tab w:leader="none" w:pos="980" w:val="left"/>
        </w:tabs>
        <w:numPr>
          <w:ilvl w:val="0"/>
          <w:numId w:val="34"/>
        </w:numPr>
        <w:rPr>
          <w:rFonts w:ascii="Arial" w:cs="Arial" w:eastAsia="Arial" w:hAnsi="Arial"/>
          <w:sz w:val="29"/>
          <w:szCs w:val="29"/>
          <w:color w:val="auto"/>
          <w:vertAlign w:val="superscript"/>
        </w:rPr>
      </w:pPr>
      <w:r>
        <w:rPr>
          <w:rFonts w:ascii="Arial" w:cs="Arial" w:eastAsia="Arial" w:hAnsi="Arial"/>
          <w:sz w:val="18"/>
          <w:szCs w:val="18"/>
          <w:color w:val="auto"/>
        </w:rPr>
        <w:t>Im Falle einer Ausgabe von neuen Aktien unterliegen Zeichnung und Erwerb der neuen Aktien sowie jede nachfolgende Übertragung der Aktien den Beschränkungen von Artikel 7 und Artikel 9 dieser Statuten.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-225425</wp:posOffset>
            </wp:positionH>
            <wp:positionV relativeFrom="paragraph">
              <wp:posOffset>573405</wp:posOffset>
            </wp:positionV>
            <wp:extent cx="629221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293" w:right="60"/>
        <w:spacing w:after="0" w:line="239" w:lineRule="auto"/>
        <w:rPr>
          <w:sz w:val="20"/>
          <w:szCs w:val="20"/>
          <w:color w:val="auto"/>
        </w:rPr>
      </w:pPr>
      <w:r>
        <w:rPr>
          <w:rFonts w:ascii="Arial" w:cs="Arial" w:eastAsia="Arial" w:hAnsi="Arial"/>
          <w:sz w:val="18"/>
          <w:szCs w:val="18"/>
          <w:color w:val="auto"/>
        </w:rPr>
        <w:t>allocate the reduction amount to the Company's equity, and/or (c) use the reduction amount for the partial or full elimination of a share capital shortfall as provided for in article 653p of the CO. The Board may also, as provided for in Article 653q of the CO, simultaneously reduce and increase the share capital to at least the previous amount.</w:t>
      </w:r>
    </w:p>
    <w:p>
      <w:pPr>
        <w:spacing w:after="0" w:line="200" w:lineRule="exact"/>
        <w:rPr>
          <w:sz w:val="20"/>
          <w:szCs w:val="20"/>
          <w:color w:val="auto"/>
        </w:rPr>
      </w:pPr>
    </w:p>
    <w:p>
      <w:pPr>
        <w:spacing w:after="0" w:line="280" w:lineRule="exact"/>
        <w:rPr>
          <w:sz w:val="20"/>
          <w:szCs w:val="20"/>
          <w:color w:val="auto"/>
        </w:rPr>
      </w:pPr>
    </w:p>
    <w:p>
      <w:pPr>
        <w:ind w:left="293"/>
        <w:spacing w:after="0"/>
        <w:rPr>
          <w:sz w:val="20"/>
          <w:szCs w:val="20"/>
          <w:color w:val="auto"/>
        </w:rPr>
      </w:pPr>
      <w:r>
        <w:rPr>
          <w:rFonts w:ascii="Arial" w:cs="Arial" w:eastAsia="Arial" w:hAnsi="Arial"/>
          <w:sz w:val="18"/>
          <w:szCs w:val="18"/>
          <w:b w:val="1"/>
          <w:bCs w:val="1"/>
          <w:color w:val="auto"/>
        </w:rPr>
        <w:t>B. For Incentive Plans</w:t>
      </w:r>
    </w:p>
    <w:p>
      <w:pPr>
        <w:spacing w:after="0" w:line="130" w:lineRule="exact"/>
        <w:rPr>
          <w:sz w:val="20"/>
          <w:szCs w:val="20"/>
          <w:color w:val="auto"/>
        </w:rPr>
      </w:pPr>
    </w:p>
    <w:p>
      <w:pPr>
        <w:ind w:left="293" w:hanging="293"/>
        <w:spacing w:after="0"/>
        <w:tabs>
          <w:tab w:leader="none" w:pos="293" w:val="left"/>
        </w:tabs>
        <w:numPr>
          <w:ilvl w:val="0"/>
          <w:numId w:val="35"/>
        </w:numPr>
        <w:rPr>
          <w:rFonts w:ascii="Arial" w:cs="Arial" w:eastAsia="Arial" w:hAnsi="Arial"/>
          <w:sz w:val="29"/>
          <w:szCs w:val="29"/>
          <w:color w:val="auto"/>
          <w:vertAlign w:val="superscript"/>
        </w:rPr>
      </w:pPr>
      <w:r>
        <w:rPr>
          <w:rFonts w:ascii="Arial" w:cs="Arial" w:eastAsia="Arial" w:hAnsi="Arial"/>
          <w:sz w:val="18"/>
          <w:szCs w:val="18"/>
          <w:color w:val="auto"/>
        </w:rPr>
        <w:t>[omitted]</w:t>
      </w:r>
    </w:p>
    <w:p>
      <w:pPr>
        <w:spacing w:after="0" w:line="99" w:lineRule="exact"/>
        <w:rPr>
          <w:sz w:val="20"/>
          <w:szCs w:val="20"/>
          <w:color w:val="auto"/>
        </w:rPr>
      </w:pPr>
    </w:p>
    <w:p>
      <w:pPr>
        <w:ind w:left="293" w:hanging="293"/>
        <w:spacing w:after="0"/>
        <w:tabs>
          <w:tab w:leader="none" w:pos="293" w:val="left"/>
        </w:tabs>
        <w:numPr>
          <w:ilvl w:val="0"/>
          <w:numId w:val="36"/>
        </w:numPr>
        <w:rPr>
          <w:rFonts w:ascii="Arial" w:cs="Arial" w:eastAsia="Arial" w:hAnsi="Arial"/>
          <w:sz w:val="29"/>
          <w:szCs w:val="29"/>
          <w:color w:val="auto"/>
          <w:vertAlign w:val="superscript"/>
        </w:rPr>
      </w:pPr>
      <w:r>
        <w:rPr>
          <w:rFonts w:ascii="Arial" w:cs="Arial" w:eastAsia="Arial" w:hAnsi="Arial"/>
          <w:sz w:val="18"/>
          <w:szCs w:val="18"/>
          <w:color w:val="auto"/>
        </w:rPr>
        <w:t>[omitted]</w:t>
      </w:r>
    </w:p>
    <w:p>
      <w:pPr>
        <w:spacing w:after="0" w:line="99" w:lineRule="exact"/>
        <w:rPr>
          <w:sz w:val="20"/>
          <w:szCs w:val="20"/>
          <w:color w:val="auto"/>
        </w:rPr>
      </w:pPr>
    </w:p>
    <w:p>
      <w:pPr>
        <w:ind w:left="293" w:hanging="293"/>
        <w:spacing w:after="0"/>
        <w:tabs>
          <w:tab w:leader="none" w:pos="293" w:val="left"/>
        </w:tabs>
        <w:numPr>
          <w:ilvl w:val="0"/>
          <w:numId w:val="37"/>
        </w:numPr>
        <w:rPr>
          <w:rFonts w:ascii="Arial" w:cs="Arial" w:eastAsia="Arial" w:hAnsi="Arial"/>
          <w:sz w:val="29"/>
          <w:szCs w:val="29"/>
          <w:color w:val="auto"/>
          <w:vertAlign w:val="superscript"/>
        </w:rPr>
      </w:pPr>
      <w:r>
        <w:rPr>
          <w:rFonts w:ascii="Arial" w:cs="Arial" w:eastAsia="Arial" w:hAnsi="Arial"/>
          <w:sz w:val="18"/>
          <w:szCs w:val="18"/>
          <w:color w:val="auto"/>
        </w:rPr>
        <w:t>[omitted]</w:t>
      </w:r>
    </w:p>
    <w:p>
      <w:pPr>
        <w:spacing w:after="0" w:line="193" w:lineRule="exact"/>
        <w:rPr>
          <w:rFonts w:ascii="Arial" w:cs="Arial" w:eastAsia="Arial" w:hAnsi="Arial"/>
          <w:sz w:val="29"/>
          <w:szCs w:val="29"/>
          <w:color w:val="auto"/>
          <w:vertAlign w:val="superscript"/>
        </w:rPr>
      </w:pPr>
    </w:p>
    <w:p>
      <w:pPr>
        <w:ind w:left="293"/>
        <w:spacing w:after="0"/>
        <w:rPr>
          <w:rFonts w:ascii="Arial" w:cs="Arial" w:eastAsia="Arial" w:hAnsi="Arial"/>
          <w:sz w:val="29"/>
          <w:szCs w:val="29"/>
          <w:color w:val="auto"/>
          <w:vertAlign w:val="superscript"/>
        </w:rPr>
      </w:pPr>
      <w:r>
        <w:rPr>
          <w:rFonts w:ascii="Arial" w:cs="Arial" w:eastAsia="Arial" w:hAnsi="Arial"/>
          <w:sz w:val="18"/>
          <w:szCs w:val="18"/>
          <w:b w:val="1"/>
          <w:bCs w:val="1"/>
          <w:color w:val="auto"/>
        </w:rPr>
        <w:t>C. General Provisions</w:t>
      </w:r>
    </w:p>
    <w:p>
      <w:pPr>
        <w:spacing w:after="0" w:line="225" w:lineRule="exact"/>
        <w:rPr>
          <w:sz w:val="20"/>
          <w:szCs w:val="20"/>
          <w:color w:val="auto"/>
        </w:rPr>
      </w:pPr>
    </w:p>
    <w:p>
      <w:pPr>
        <w:ind w:left="293" w:right="40" w:hanging="293"/>
        <w:spacing w:after="0" w:line="212" w:lineRule="auto"/>
        <w:tabs>
          <w:tab w:leader="none" w:pos="293" w:val="left"/>
        </w:tabs>
        <w:numPr>
          <w:ilvl w:val="0"/>
          <w:numId w:val="38"/>
        </w:numPr>
        <w:rPr>
          <w:rFonts w:ascii="Arial" w:cs="Arial" w:eastAsia="Arial" w:hAnsi="Arial"/>
          <w:sz w:val="29"/>
          <w:szCs w:val="29"/>
          <w:color w:val="auto"/>
          <w:vertAlign w:val="superscript"/>
        </w:rPr>
      </w:pPr>
      <w:r>
        <w:rPr>
          <w:rFonts w:ascii="Arial" w:cs="Arial" w:eastAsia="Arial" w:hAnsi="Arial"/>
          <w:sz w:val="18"/>
          <w:szCs w:val="18"/>
          <w:color w:val="auto"/>
        </w:rPr>
        <w:t>After a change of the par value within the capital band pursuant to this Article 5, new Shares shall be issued with the same par value as the existing Shares.</w:t>
      </w:r>
    </w:p>
    <w:p>
      <w:pPr>
        <w:spacing w:after="0" w:line="277" w:lineRule="exact"/>
        <w:rPr>
          <w:sz w:val="20"/>
          <w:szCs w:val="20"/>
          <w:color w:val="auto"/>
        </w:rPr>
      </w:pPr>
    </w:p>
    <w:p>
      <w:pPr>
        <w:ind w:left="293" w:right="40" w:hanging="293"/>
        <w:spacing w:after="0" w:line="221" w:lineRule="auto"/>
        <w:tabs>
          <w:tab w:leader="none" w:pos="293" w:val="left"/>
        </w:tabs>
        <w:numPr>
          <w:ilvl w:val="0"/>
          <w:numId w:val="39"/>
        </w:numPr>
        <w:rPr>
          <w:rFonts w:ascii="Arial" w:cs="Arial" w:eastAsia="Arial" w:hAnsi="Arial"/>
          <w:sz w:val="29"/>
          <w:szCs w:val="29"/>
          <w:color w:val="auto"/>
          <w:vertAlign w:val="superscript"/>
        </w:rPr>
      </w:pPr>
      <w:r>
        <w:rPr>
          <w:rFonts w:ascii="Arial" w:cs="Arial" w:eastAsia="Arial" w:hAnsi="Arial"/>
          <w:sz w:val="18"/>
          <w:szCs w:val="18"/>
          <w:color w:val="auto"/>
        </w:rPr>
        <w:t>If the share capital increases as a result of a conditional capital increase pursuant to Article 6 of these Articles of Association, the upper and lower limits of the capital band shall increase in an amount corresponding to such increase in the share capital.</w:t>
      </w:r>
    </w:p>
    <w:p>
      <w:pPr>
        <w:spacing w:after="0" w:line="74" w:lineRule="exact"/>
        <w:rPr>
          <w:rFonts w:ascii="Arial" w:cs="Arial" w:eastAsia="Arial" w:hAnsi="Arial"/>
          <w:sz w:val="29"/>
          <w:szCs w:val="29"/>
          <w:color w:val="auto"/>
          <w:vertAlign w:val="superscript"/>
        </w:rPr>
      </w:pPr>
    </w:p>
    <w:p>
      <w:pPr>
        <w:ind w:left="293" w:hanging="293"/>
        <w:spacing w:after="0" w:line="219" w:lineRule="auto"/>
        <w:tabs>
          <w:tab w:leader="none" w:pos="293" w:val="left"/>
        </w:tabs>
        <w:numPr>
          <w:ilvl w:val="0"/>
          <w:numId w:val="39"/>
        </w:numPr>
        <w:rPr>
          <w:rFonts w:ascii="Arial" w:cs="Arial" w:eastAsia="Arial" w:hAnsi="Arial"/>
          <w:sz w:val="29"/>
          <w:szCs w:val="29"/>
          <w:color w:val="auto"/>
          <w:vertAlign w:val="superscript"/>
        </w:rPr>
      </w:pPr>
      <w:r>
        <w:rPr>
          <w:rFonts w:ascii="Arial" w:cs="Arial" w:eastAsia="Arial" w:hAnsi="Arial"/>
          <w:sz w:val="18"/>
          <w:szCs w:val="18"/>
          <w:color w:val="auto"/>
        </w:rPr>
        <w:t>In the event of an issue of new Shares, the subscription and acquisition of the new Shares and any subsequent transfer of the Shares shall be subject to the limitations pursuant to Article 7 and Article 9 of these Articles of Association.</w:t>
      </w:r>
    </w:p>
    <w:p>
      <w:pPr>
        <w:sectPr>
          <w:pgSz w:w="11900" w:h="16838" w:orient="portrait"/>
          <w:cols w:equalWidth="0" w:num="2">
            <w:col w:w="4720" w:space="667"/>
            <w:col w:w="3713"/>
          </w:cols>
          <w:pgMar w:left="1440" w:top="670" w:right="1359" w:bottom="1440" w:gutter="0" w:footer="0" w:header="0"/>
        </w:sectPr>
      </w:pPr>
    </w:p>
    <w:bookmarkStart w:id="13" w:name="page14"/>
    <w:bookmarkEnd w:id="13"/>
    <w:p>
      <w:pPr>
        <w:jc w:val="center"/>
        <w:ind w:right="-299"/>
        <w:spacing w:after="0"/>
        <w:rPr>
          <w:sz w:val="20"/>
          <w:szCs w:val="20"/>
          <w:color w:val="auto"/>
        </w:rPr>
      </w:pPr>
      <w:r>
        <w:rPr>
          <w:rFonts w:ascii="Arial" w:cs="Arial" w:eastAsia="Arial" w:hAnsi="Arial"/>
          <w:sz w:val="14"/>
          <w:szCs w:val="14"/>
          <w:color w:val="auto"/>
        </w:rPr>
        <w:t>- 7 -</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200"/>
        <w:spacing w:after="0"/>
        <w:tabs>
          <w:tab w:leader="none" w:pos="5880" w:val="left"/>
        </w:tabs>
        <w:rPr>
          <w:sz w:val="20"/>
          <w:szCs w:val="20"/>
          <w:color w:val="auto"/>
        </w:rPr>
      </w:pPr>
      <w:r>
        <w:rPr>
          <w:rFonts w:ascii="Arial" w:cs="Arial" w:eastAsia="Arial" w:hAnsi="Arial"/>
          <w:sz w:val="18"/>
          <w:szCs w:val="18"/>
          <w:b w:val="1"/>
          <w:bCs w:val="1"/>
          <w:color w:val="auto"/>
        </w:rPr>
        <w:t>Artikel 6</w:t>
      </w:r>
      <w:r>
        <w:rPr>
          <w:sz w:val="20"/>
          <w:szCs w:val="20"/>
          <w:color w:val="auto"/>
        </w:rPr>
        <w:tab/>
      </w:r>
      <w:r>
        <w:rPr>
          <w:rFonts w:ascii="Arial" w:cs="Arial" w:eastAsia="Arial" w:hAnsi="Arial"/>
          <w:sz w:val="17"/>
          <w:szCs w:val="17"/>
          <w:b w:val="1"/>
          <w:bCs w:val="1"/>
          <w:color w:val="auto"/>
        </w:rPr>
        <w:t>Article 6</w:t>
      </w:r>
    </w:p>
    <w:p>
      <w:pPr>
        <w:sectPr>
          <w:pgSz w:w="11900" w:h="16838" w:orient="portrait"/>
          <w:cols w:equalWidth="0" w:num="1">
            <w:col w:w="9340"/>
          </w:cols>
          <w:pgMar w:left="1220" w:top="670" w:right="1339" w:bottom="1440" w:gutter="0" w:footer="0" w:header="0"/>
        </w:sectPr>
      </w:pPr>
    </w:p>
    <w:p>
      <w:pPr>
        <w:spacing w:after="0" w:line="235" w:lineRule="exact"/>
        <w:rPr>
          <w:sz w:val="20"/>
          <w:szCs w:val="20"/>
          <w:color w:val="auto"/>
        </w:rPr>
      </w:pPr>
    </w:p>
    <w:p>
      <w:pPr>
        <w:spacing w:after="0" w:line="285" w:lineRule="auto"/>
        <w:rPr>
          <w:sz w:val="20"/>
          <w:szCs w:val="20"/>
          <w:color w:val="auto"/>
        </w:rPr>
      </w:pPr>
      <w:r>
        <w:rPr>
          <w:rFonts w:ascii="Arial" w:cs="Arial" w:eastAsia="Arial" w:hAnsi="Arial"/>
          <w:sz w:val="14"/>
          <w:szCs w:val="14"/>
          <w:color w:val="auto"/>
        </w:rPr>
        <w:t>Bedingtes 1 Aktienkapital</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Das Aktienkapital kann sich durch Ausgabe von höchstens 141'262'093 voll zu liberierenden Aktien im Nennwert von je USD 0.10 um höchstens USD 14'126'209.30 erhöhen durch:</w:t>
      </w:r>
    </w:p>
    <w:p>
      <w:pPr>
        <w:spacing w:after="0" w:line="68" w:lineRule="exact"/>
        <w:rPr>
          <w:sz w:val="20"/>
          <w:szCs w:val="20"/>
          <w:color w:val="auto"/>
        </w:rPr>
      </w:pPr>
    </w:p>
    <w:p>
      <w:pPr>
        <w:ind w:left="580" w:right="20" w:hanging="574"/>
        <w:spacing w:after="0" w:line="252" w:lineRule="auto"/>
        <w:tabs>
          <w:tab w:leader="none" w:pos="5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 xml:space="preserve">die Ausübung von Wandel-, Tausch-, Options-, Bezugs- oder ähnlichen Rechten auf den Bezug von Aktien (nachfolgend die </w:t>
      </w:r>
      <w:r>
        <w:rPr>
          <w:rFonts w:ascii="Arial" w:cs="Arial" w:eastAsia="Arial" w:hAnsi="Arial"/>
          <w:sz w:val="17"/>
          <w:szCs w:val="17"/>
          <w:b w:val="1"/>
          <w:bCs w:val="1"/>
          <w:color w:val="auto"/>
        </w:rPr>
        <w:t>Rechte</w:t>
      </w:r>
      <w:r>
        <w:rPr>
          <w:rFonts w:ascii="Arial" w:cs="Arial" w:eastAsia="Arial" w:hAnsi="Arial"/>
          <w:sz w:val="17"/>
          <w:szCs w:val="17"/>
          <w:color w:val="auto"/>
        </w:rPr>
        <w:t>), welche Dritten oder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Aktionären in Verbindung mit auf nationalen oder internationalen Kapitalmärkten neu oder bereits begebenen Anleihensobligationen, Optionen, Warrants oder anderen Finanzmarktinstrumenten oder neuen oder bereits bestehenden vertraglichen Verpflichtungen der Gesellschaft, einer ihrer Gruppengesellschaften oder einer deren Rechtsvorgänger eingeräumt werden (nachfolgend zusammen die </w:t>
      </w:r>
      <w:r>
        <w:rPr>
          <w:rFonts w:ascii="Arial" w:cs="Arial" w:eastAsia="Arial" w:hAnsi="Arial"/>
          <w:sz w:val="17"/>
          <w:szCs w:val="17"/>
          <w:b w:val="1"/>
          <w:bCs w:val="1"/>
          <w:color w:val="auto"/>
        </w:rPr>
        <w:t>mit Rechten verbundenen</w:t>
      </w:r>
      <w:r>
        <w:rPr>
          <w:rFonts w:ascii="Arial" w:cs="Arial" w:eastAsia="Arial" w:hAnsi="Arial"/>
          <w:sz w:val="17"/>
          <w:szCs w:val="17"/>
          <w:color w:val="auto"/>
        </w:rPr>
        <w:t xml:space="preserve"> </w:t>
      </w:r>
      <w:r>
        <w:rPr>
          <w:rFonts w:ascii="Arial" w:cs="Arial" w:eastAsia="Arial" w:hAnsi="Arial"/>
          <w:sz w:val="17"/>
          <w:szCs w:val="17"/>
          <w:b w:val="1"/>
          <w:bCs w:val="1"/>
          <w:color w:val="auto"/>
        </w:rPr>
        <w:t>Obligationen</w:t>
      </w:r>
      <w:r>
        <w:rPr>
          <w:rFonts w:ascii="Arial" w:cs="Arial" w:eastAsia="Arial" w:hAnsi="Arial"/>
          <w:sz w:val="17"/>
          <w:szCs w:val="17"/>
          <w:color w:val="auto"/>
        </w:rPr>
        <w:t>); und/oder</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tabs>
          <w:tab w:leader="none" w:pos="820" w:val="left"/>
        </w:tabs>
        <w:rPr>
          <w:sz w:val="20"/>
          <w:szCs w:val="20"/>
          <w:color w:val="auto"/>
        </w:rPr>
      </w:pPr>
      <w:r>
        <w:rPr>
          <w:rFonts w:ascii="Arial" w:cs="Arial" w:eastAsia="Arial" w:hAnsi="Arial"/>
          <w:sz w:val="14"/>
          <w:szCs w:val="14"/>
          <w:color w:val="auto"/>
        </w:rPr>
        <w:t>Conditional</w:t>
        <w:tab/>
        <w:t>1</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Share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Capital</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right="80"/>
        <w:spacing w:after="0" w:line="261" w:lineRule="auto"/>
        <w:rPr>
          <w:sz w:val="20"/>
          <w:szCs w:val="20"/>
          <w:color w:val="auto"/>
        </w:rPr>
      </w:pPr>
      <w:r>
        <w:rPr>
          <w:rFonts w:ascii="Arial" w:cs="Arial" w:eastAsia="Arial" w:hAnsi="Arial"/>
          <w:sz w:val="17"/>
          <w:szCs w:val="17"/>
          <w:color w:val="auto"/>
        </w:rPr>
        <w:t>The share capital may be increased in an amount not to exceed USD 14,126,209.30 through the issuance of up to 141,262,093 fully paid-up Shares with a par value of USD 0.10 per Share through:</w:t>
      </w:r>
    </w:p>
    <w:p>
      <w:pPr>
        <w:spacing w:after="0" w:line="58" w:lineRule="exact"/>
        <w:rPr>
          <w:sz w:val="20"/>
          <w:szCs w:val="20"/>
          <w:color w:val="auto"/>
        </w:rPr>
      </w:pPr>
    </w:p>
    <w:p>
      <w:pPr>
        <w:ind w:left="540" w:right="40" w:hanging="495"/>
        <w:spacing w:after="0" w:line="253" w:lineRule="auto"/>
        <w:tabs>
          <w:tab w:leader="none" w:pos="5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 xml:space="preserve">the exercise of conversion, exchange, option, warrant or similar rights for the subscription of Shares (hereinafter the </w:t>
      </w:r>
      <w:r>
        <w:rPr>
          <w:rFonts w:ascii="Arial" w:cs="Arial" w:eastAsia="Arial" w:hAnsi="Arial"/>
          <w:sz w:val="17"/>
          <w:szCs w:val="17"/>
          <w:b w:val="1"/>
          <w:bCs w:val="1"/>
          <w:color w:val="auto"/>
        </w:rPr>
        <w:t>Rights</w:t>
      </w:r>
      <w:r>
        <w:rPr>
          <w:rFonts w:ascii="Arial" w:cs="Arial" w:eastAsia="Arial" w:hAnsi="Arial"/>
          <w:sz w:val="17"/>
          <w:szCs w:val="17"/>
          <w:color w:val="auto"/>
        </w:rPr>
        <w:t xml:space="preserve">) granted to third parties or shareholders in connection with bonds, options, warrants or other securities newly or already issued in national or international capital markets or new or already existing contractual obligations by or of the Company, one of its group companies, or any of their respective predecessors (hereinafter collectively, the </w:t>
      </w:r>
      <w:r>
        <w:rPr>
          <w:rFonts w:ascii="Arial" w:cs="Arial" w:eastAsia="Arial" w:hAnsi="Arial"/>
          <w:sz w:val="17"/>
          <w:szCs w:val="17"/>
          <w:b w:val="1"/>
          <w:bCs w:val="1"/>
          <w:color w:val="auto"/>
        </w:rPr>
        <w:t>Rights-Bearing Obligations</w:t>
      </w:r>
      <w:r>
        <w:rPr>
          <w:rFonts w:ascii="Arial" w:cs="Arial" w:eastAsia="Arial" w:hAnsi="Arial"/>
          <w:sz w:val="17"/>
          <w:szCs w:val="17"/>
          <w:color w:val="auto"/>
        </w:rPr>
        <w:t>); and/or</w:t>
      </w:r>
    </w:p>
    <w:p>
      <w:pPr>
        <w:spacing w:after="0" w:line="864" w:lineRule="exact"/>
        <w:rPr>
          <w:sz w:val="20"/>
          <w:szCs w:val="20"/>
          <w:color w:val="auto"/>
        </w:rPr>
      </w:pPr>
    </w:p>
    <w:p>
      <w:pPr>
        <w:sectPr>
          <w:pgSz w:w="11900" w:h="16838" w:orient="portrait"/>
          <w:cols w:equalWidth="0" w:num="4">
            <w:col w:w="1020" w:space="180"/>
            <w:col w:w="3420" w:space="160"/>
            <w:col w:w="920" w:space="200"/>
            <w:col w:w="3440"/>
          </w:cols>
          <w:pgMar w:left="1220" w:top="670" w:right="1339" w:bottom="1440" w:gutter="0" w:footer="0" w:header="0"/>
          <w:type w:val="continuous"/>
        </w:sectPr>
      </w:pPr>
    </w:p>
    <w:p>
      <w:pPr>
        <w:ind w:left="1780" w:right="605" w:hanging="574"/>
        <w:spacing w:after="0" w:line="239" w:lineRule="auto"/>
        <w:tabs>
          <w:tab w:leader="none" w:pos="1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die Ausgabe von Aktien oder mit Rechten verbundenen Obligationen an Mitglieder des Verwaltungsrates, Mitglieder der Geschäftsleitung, Arbeitnehmer, Beauftragte, Berater oder anderen Personen, welche Dienstleistungen für die Gesellschaft oder ihre Tochtergesellschaften erbringen.</w:t>
      </w:r>
    </w:p>
    <w:p>
      <w:pPr>
        <w:spacing w:after="0" w:line="20" w:lineRule="exact"/>
        <w:rPr>
          <w:sz w:val="20"/>
          <w:szCs w:val="20"/>
          <w:color w:val="auto"/>
        </w:rPr>
      </w:pPr>
      <w:r>
        <w:rPr>
          <w:sz w:val="20"/>
          <w:szCs w:val="20"/>
          <w:color w:val="auto"/>
        </w:rPr>
        <w:br w:type="column"/>
      </w:r>
    </w:p>
    <w:p>
      <w:pPr>
        <w:ind w:left="495" w:right="100" w:hanging="495"/>
        <w:spacing w:after="0" w:line="256" w:lineRule="auto"/>
        <w:tabs>
          <w:tab w:leader="none" w:pos="495"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issuance of Shares or Rights-Bearing Obligations granted to members of the Board of Directors, members of the executive management, employees, contractors, consultants or other persons providing services to the Company or its subsidiaries.</w:t>
      </w:r>
    </w:p>
    <w:p>
      <w:pPr>
        <w:spacing w:after="0" w:line="262" w:lineRule="exact"/>
        <w:rPr>
          <w:sz w:val="20"/>
          <w:szCs w:val="20"/>
          <w:color w:val="auto"/>
        </w:rPr>
      </w:pPr>
    </w:p>
    <w:p>
      <w:pPr>
        <w:sectPr>
          <w:pgSz w:w="11900" w:h="16838" w:orient="portrait"/>
          <w:cols w:equalWidth="0" w:num="2">
            <w:col w:w="5225" w:space="720"/>
            <w:col w:w="3395"/>
          </w:cols>
          <w:pgMar w:left="1220" w:top="670" w:right="1339" w:bottom="1440" w:gutter="0" w:footer="0" w:header="0"/>
          <w:type w:val="continuous"/>
        </w:sectPr>
      </w:pPr>
    </w:p>
    <w:p>
      <w:pPr>
        <w:ind w:left="1200" w:right="261" w:hanging="264"/>
        <w:spacing w:after="0" w:line="227" w:lineRule="auto"/>
        <w:tabs>
          <w:tab w:leader="none" w:pos="1200" w:val="left"/>
        </w:tabs>
        <w:numPr>
          <w:ilvl w:val="0"/>
          <w:numId w:val="44"/>
        </w:numPr>
        <w:rPr>
          <w:rFonts w:ascii="Arial" w:cs="Arial" w:eastAsia="Arial" w:hAnsi="Arial"/>
          <w:sz w:val="29"/>
          <w:szCs w:val="29"/>
          <w:color w:val="auto"/>
          <w:vertAlign w:val="superscript"/>
        </w:rPr>
      </w:pPr>
      <w:r>
        <w:rPr>
          <w:rFonts w:ascii="Arial" w:cs="Arial" w:eastAsia="Arial" w:hAnsi="Arial"/>
          <w:sz w:val="18"/>
          <w:szCs w:val="18"/>
          <w:color w:val="auto"/>
        </w:rPr>
        <w:t>Bei der Ausgabe von mit Rechten verbundenen Obligationen durch die Gesellschaft, eine ihrer Gruppengesellschaften oder eine deren Rechtsvorgänger ist das Bezugsrecht der Aktionäre ausgeschlossen. Zum Bezug der neuen Aktien, die bei Ausübung von mit Rechten verbundenen Obligationen ausgegeben werden, sind die jeweiligen Inhaber der mit Rechten verbundenen Obligationen berechtigt. Die Bedingungen der mit Rechten verbundenen Obligationen sind durch den Verwaltungsrat festzulegen.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372745</wp:posOffset>
            </wp:positionV>
            <wp:extent cx="629221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279" w:hanging="279"/>
        <w:spacing w:after="0" w:line="227" w:lineRule="auto"/>
        <w:tabs>
          <w:tab w:leader="none" w:pos="279" w:val="left"/>
        </w:tabs>
        <w:numPr>
          <w:ilvl w:val="0"/>
          <w:numId w:val="45"/>
        </w:numPr>
        <w:rPr>
          <w:rFonts w:ascii="Arial" w:cs="Arial" w:eastAsia="Arial" w:hAnsi="Arial"/>
          <w:sz w:val="29"/>
          <w:szCs w:val="29"/>
          <w:color w:val="auto"/>
          <w:vertAlign w:val="superscript"/>
        </w:rPr>
      </w:pPr>
      <w:r>
        <w:rPr>
          <w:rFonts w:ascii="Arial" w:cs="Arial" w:eastAsia="Arial" w:hAnsi="Arial"/>
          <w:sz w:val="18"/>
          <w:szCs w:val="18"/>
          <w:color w:val="auto"/>
        </w:rPr>
        <w:t>The preemptive rights of the shareholders shall be excluded in connection with the issuance of any Rights-Bearing Obligations by the Company, one of its group companies, or any of their respective predecessors. The then-current owners of such Rights-Bearing Obligations shall be entitled to subscribe for the new Shares issued upon conversion, exchange or exercise of any Rights-Bearing Obligations. The conditions of the Rights-Bearing Obligations shall be determined by the Board of Directors.</w:t>
      </w:r>
    </w:p>
    <w:p>
      <w:pPr>
        <w:sectPr>
          <w:pgSz w:w="11900" w:h="16838" w:orient="portrait"/>
          <w:cols w:equalWidth="0" w:num="2">
            <w:col w:w="4901" w:space="720"/>
            <w:col w:w="3719"/>
          </w:cols>
          <w:pgMar w:left="1220" w:top="670" w:right="1339" w:bottom="1440" w:gutter="0" w:footer="0" w:header="0"/>
          <w:type w:val="continuous"/>
        </w:sectPr>
      </w:pPr>
    </w:p>
    <w:bookmarkStart w:id="14" w:name="page15"/>
    <w:bookmarkEnd w:id="14"/>
    <w:p>
      <w:pPr>
        <w:jc w:val="right"/>
        <w:spacing w:after="0"/>
        <w:rPr>
          <w:sz w:val="20"/>
          <w:szCs w:val="20"/>
          <w:color w:val="auto"/>
        </w:rPr>
      </w:pPr>
      <w:r>
        <w:rPr>
          <w:rFonts w:ascii="Arial" w:cs="Arial" w:eastAsia="Arial" w:hAnsi="Arial"/>
          <w:sz w:val="14"/>
          <w:szCs w:val="14"/>
          <w:color w:val="auto"/>
        </w:rPr>
        <w:t>- 8 -</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980" w:right="380" w:hanging="277"/>
        <w:spacing w:after="0" w:line="227" w:lineRule="auto"/>
        <w:tabs>
          <w:tab w:leader="none" w:pos="980" w:val="left"/>
        </w:tabs>
        <w:numPr>
          <w:ilvl w:val="0"/>
          <w:numId w:val="46"/>
        </w:numPr>
        <w:rPr>
          <w:rFonts w:ascii="Arial" w:cs="Arial" w:eastAsia="Arial" w:hAnsi="Arial"/>
          <w:sz w:val="29"/>
          <w:szCs w:val="29"/>
          <w:color w:val="auto"/>
          <w:vertAlign w:val="superscript"/>
        </w:rPr>
      </w:pPr>
      <w:r>
        <w:rPr>
          <w:rFonts w:ascii="Arial" w:cs="Arial" w:eastAsia="Arial" w:hAnsi="Arial"/>
          <w:sz w:val="18"/>
          <w:szCs w:val="18"/>
          <w:color w:val="auto"/>
        </w:rPr>
        <w:t>Der Verwaltungsrat ist ermächtigt, die Vorwegzeichnungsrechte der Aktionäre im Zusammenhang mit der Ausgabe von mit Rechten verbundenen Obligationen durch die Gesellschaft oder eine ihrer Gruppengesellschaften zu beschränken oder aufzuheben, falls (1) die Ausgabe zum Zwecke der Finanzierung oder Refinanzierung der Übernahme von Unternehmen, Unternehmensteilen, Beteiligungen oder Investitionen, oder (2) die Ausgabe auf nationalen oder internationalen Finanzmärkten oder im Rahmen einer Privatplatzierung erfolgt.</w:t>
      </w:r>
    </w:p>
    <w:p>
      <w:pPr>
        <w:spacing w:after="0" w:line="82" w:lineRule="exact"/>
        <w:rPr>
          <w:rFonts w:ascii="Arial" w:cs="Arial" w:eastAsia="Arial" w:hAnsi="Arial"/>
          <w:sz w:val="29"/>
          <w:szCs w:val="29"/>
          <w:color w:val="auto"/>
          <w:vertAlign w:val="superscript"/>
        </w:rPr>
      </w:pPr>
    </w:p>
    <w:p>
      <w:pPr>
        <w:ind w:left="980" w:right="540"/>
        <w:spacing w:after="0" w:line="253" w:lineRule="auto"/>
        <w:rPr>
          <w:rFonts w:ascii="Arial" w:cs="Arial" w:eastAsia="Arial" w:hAnsi="Arial"/>
          <w:sz w:val="29"/>
          <w:szCs w:val="29"/>
          <w:color w:val="auto"/>
          <w:vertAlign w:val="superscript"/>
        </w:rPr>
      </w:pPr>
      <w:r>
        <w:rPr>
          <w:rFonts w:ascii="Arial" w:cs="Arial" w:eastAsia="Arial" w:hAnsi="Arial"/>
          <w:sz w:val="18"/>
          <w:szCs w:val="18"/>
          <w:color w:val="auto"/>
        </w:rPr>
        <w:t>Wird das Vorwegzeichnungsrecht weder direkt noch indirekt durch den Verwaltungsrat gewährt, gilt Folgendes:</w:t>
      </w:r>
    </w:p>
    <w:p>
      <w:pPr>
        <w:spacing w:after="0" w:line="263" w:lineRule="exact"/>
        <w:rPr>
          <w:rFonts w:ascii="Arial" w:cs="Arial" w:eastAsia="Arial" w:hAnsi="Arial"/>
          <w:sz w:val="29"/>
          <w:szCs w:val="29"/>
          <w:color w:val="auto"/>
          <w:vertAlign w:val="superscript"/>
        </w:rPr>
      </w:pPr>
    </w:p>
    <w:p>
      <w:pPr>
        <w:ind w:left="1520" w:right="420" w:hanging="493"/>
        <w:spacing w:after="0" w:line="247" w:lineRule="auto"/>
        <w:tabs>
          <w:tab w:leader="none" w:pos="152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Die mit Rechten verbundenen Obligationen sind zu den jeweils marktüblichen Bedingungen auszugeben oder einzugehen; und</w:t>
      </w:r>
    </w:p>
    <w:p>
      <w:pPr>
        <w:spacing w:after="0" w:line="65" w:lineRule="exact"/>
        <w:rPr>
          <w:rFonts w:ascii="Arial" w:cs="Arial" w:eastAsia="Arial" w:hAnsi="Arial"/>
          <w:sz w:val="18"/>
          <w:szCs w:val="18"/>
          <w:color w:val="auto"/>
        </w:rPr>
      </w:pPr>
    </w:p>
    <w:p>
      <w:pPr>
        <w:ind w:left="1520" w:right="360" w:hanging="493"/>
        <w:spacing w:after="0"/>
        <w:tabs>
          <w:tab w:leader="none" w:pos="152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der Umwandlungs-, Tausch- oder sonstige Ausübungspreis der mit Rechten verbundenen Obligationen ist unter Berücksichtigung des Marktpreises im Zeitpunkt der Ausgabe der mit Rechten verbundenen Obligationen festzusetzen; und</w:t>
      </w:r>
    </w:p>
    <w:p>
      <w:pPr>
        <w:spacing w:after="0" w:line="72" w:lineRule="exact"/>
        <w:rPr>
          <w:rFonts w:ascii="Arial" w:cs="Arial" w:eastAsia="Arial" w:hAnsi="Arial"/>
          <w:sz w:val="18"/>
          <w:szCs w:val="18"/>
          <w:color w:val="auto"/>
        </w:rPr>
      </w:pPr>
    </w:p>
    <w:p>
      <w:pPr>
        <w:ind w:left="1520" w:right="400" w:hanging="493"/>
        <w:spacing w:after="0"/>
        <w:tabs>
          <w:tab w:leader="none" w:pos="152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die mit Rechten verbundenen Obligationen sind höchstens während 30 Jahren ab dem jeweiligen Zeitpunkt der betreffenden Ausgabe oder des betreffenden Abschlusses wandel-, tausch- oder ausübbar.</w:t>
      </w:r>
    </w:p>
    <w:p>
      <w:pPr>
        <w:spacing w:after="0" w:line="77" w:lineRule="exact"/>
        <w:rPr>
          <w:sz w:val="20"/>
          <w:szCs w:val="20"/>
          <w:color w:val="auto"/>
        </w:rPr>
      </w:pPr>
    </w:p>
    <w:p>
      <w:pPr>
        <w:ind w:left="980" w:right="340" w:hanging="277"/>
        <w:spacing w:after="0" w:line="229" w:lineRule="auto"/>
        <w:tabs>
          <w:tab w:leader="none" w:pos="980" w:val="left"/>
        </w:tabs>
        <w:numPr>
          <w:ilvl w:val="0"/>
          <w:numId w:val="47"/>
        </w:numPr>
        <w:rPr>
          <w:rFonts w:ascii="Arial" w:cs="Arial" w:eastAsia="Arial" w:hAnsi="Arial"/>
          <w:sz w:val="29"/>
          <w:szCs w:val="29"/>
          <w:color w:val="auto"/>
          <w:vertAlign w:val="superscript"/>
        </w:rPr>
      </w:pPr>
      <w:r>
        <w:rPr>
          <w:rFonts w:ascii="Arial" w:cs="Arial" w:eastAsia="Arial" w:hAnsi="Arial"/>
          <w:sz w:val="18"/>
          <w:szCs w:val="18"/>
          <w:color w:val="auto"/>
        </w:rPr>
        <w:t>Bei der Ausgabe von Aktien oder mit Rechten verbundenen Obligationen gemäss Artikel 6 Absatz 1(b) dieser Statuten sind das Bezugsrecht wie auch das Vorwegzeichnungsrecht der Aktionäre der Gesellschaft ausgeschlossen. Die Ausgabe von Aktien oder mit Rechten verbundenen Obligationen an die in Artikel 6 Absatz 1(b) dieser Statuten genannten Personen erfolgt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-225425</wp:posOffset>
            </wp:positionH>
            <wp:positionV relativeFrom="paragraph">
              <wp:posOffset>370205</wp:posOffset>
            </wp:positionV>
            <wp:extent cx="629221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73" w:right="40" w:hanging="273"/>
        <w:spacing w:after="0" w:line="239" w:lineRule="auto"/>
        <w:tabs>
          <w:tab w:leader="none" w:pos="273" w:val="left"/>
        </w:tabs>
        <w:numPr>
          <w:ilvl w:val="0"/>
          <w:numId w:val="48"/>
        </w:numPr>
        <w:rPr>
          <w:rFonts w:ascii="Arial" w:cs="Arial" w:eastAsia="Arial" w:hAnsi="Arial"/>
          <w:sz w:val="28"/>
          <w:szCs w:val="28"/>
          <w:color w:val="auto"/>
          <w:vertAlign w:val="superscript"/>
        </w:rPr>
      </w:pPr>
      <w:r>
        <w:rPr>
          <w:rFonts w:ascii="Arial" w:cs="Arial" w:eastAsia="Arial" w:hAnsi="Arial"/>
          <w:sz w:val="17"/>
          <w:szCs w:val="17"/>
          <w:color w:val="auto"/>
        </w:rPr>
        <w:t>The Board of Directors shall be authorized to withdraw or limit the advance subscription rights of the shareholders in connection with the issuance by the Company or one of its group companies of Rights-Bearing Obligations if (1) the issuance is for purposes of financing or refinancing the acquisition of an enterprise, parts of an enterprise, participations or investments or (2) the issuance occurs in national or international capital markets or through a private placement.</w:t>
      </w:r>
    </w:p>
    <w:p>
      <w:pPr>
        <w:spacing w:after="0" w:line="200" w:lineRule="exact"/>
        <w:rPr>
          <w:rFonts w:ascii="Arial" w:cs="Arial" w:eastAsia="Arial" w:hAnsi="Arial"/>
          <w:sz w:val="28"/>
          <w:szCs w:val="28"/>
          <w:color w:val="auto"/>
          <w:vertAlign w:val="superscript"/>
        </w:rPr>
      </w:pPr>
    </w:p>
    <w:p>
      <w:pPr>
        <w:spacing w:after="0" w:line="281" w:lineRule="exact"/>
        <w:rPr>
          <w:rFonts w:ascii="Arial" w:cs="Arial" w:eastAsia="Arial" w:hAnsi="Arial"/>
          <w:sz w:val="28"/>
          <w:szCs w:val="28"/>
          <w:color w:val="auto"/>
          <w:vertAlign w:val="superscript"/>
        </w:rPr>
      </w:pPr>
    </w:p>
    <w:p>
      <w:pPr>
        <w:ind w:left="273" w:right="20"/>
        <w:spacing w:after="0" w:line="247" w:lineRule="auto"/>
        <w:rPr>
          <w:rFonts w:ascii="Arial" w:cs="Arial" w:eastAsia="Arial" w:hAnsi="Arial"/>
          <w:sz w:val="28"/>
          <w:szCs w:val="28"/>
          <w:color w:val="auto"/>
          <w:vertAlign w:val="superscript"/>
        </w:rPr>
      </w:pPr>
      <w:r>
        <w:rPr>
          <w:rFonts w:ascii="Arial" w:cs="Arial" w:eastAsia="Arial" w:hAnsi="Arial"/>
          <w:sz w:val="18"/>
          <w:szCs w:val="18"/>
          <w:color w:val="auto"/>
        </w:rPr>
        <w:t>If the advance subscription rights are neither granted directly nor indirectly by the Board of Directors, the following shall apply:</w:t>
      </w:r>
    </w:p>
    <w:p>
      <w:pPr>
        <w:spacing w:after="0" w:line="65" w:lineRule="exact"/>
        <w:rPr>
          <w:rFonts w:ascii="Arial" w:cs="Arial" w:eastAsia="Arial" w:hAnsi="Arial"/>
          <w:sz w:val="28"/>
          <w:szCs w:val="28"/>
          <w:color w:val="auto"/>
          <w:vertAlign w:val="superscript"/>
        </w:rPr>
      </w:pPr>
    </w:p>
    <w:p>
      <w:pPr>
        <w:ind w:left="833" w:right="300" w:hanging="509"/>
        <w:spacing w:after="0" w:line="253" w:lineRule="auto"/>
        <w:tabs>
          <w:tab w:leader="none" w:pos="833" w:val="left"/>
        </w:tabs>
        <w:numPr>
          <w:ilvl w:val="1"/>
          <w:numId w:val="48"/>
        </w:numPr>
        <w:rPr>
          <w:rFonts w:ascii="Arial" w:cs="Arial" w:eastAsia="Arial" w:hAnsi="Arial"/>
          <w:sz w:val="18"/>
          <w:szCs w:val="18"/>
          <w:color w:val="auto"/>
        </w:rPr>
      </w:pPr>
      <w:r>
        <w:rPr>
          <w:rFonts w:ascii="Arial" w:cs="Arial" w:eastAsia="Arial" w:hAnsi="Arial"/>
          <w:sz w:val="18"/>
          <w:szCs w:val="18"/>
          <w:color w:val="auto"/>
        </w:rPr>
        <w:t>The Rights-Bearing Obligations shall be issued or entered into at market conditions; and</w:t>
      </w:r>
    </w:p>
    <w:p>
      <w:pPr>
        <w:spacing w:after="0" w:line="263" w:lineRule="exact"/>
        <w:rPr>
          <w:rFonts w:ascii="Arial" w:cs="Arial" w:eastAsia="Arial" w:hAnsi="Arial"/>
          <w:sz w:val="18"/>
          <w:szCs w:val="18"/>
          <w:color w:val="auto"/>
        </w:rPr>
      </w:pPr>
    </w:p>
    <w:p>
      <w:pPr>
        <w:ind w:left="833" w:right="60" w:hanging="509"/>
        <w:spacing w:after="0"/>
        <w:tabs>
          <w:tab w:leader="none" w:pos="833" w:val="left"/>
        </w:tabs>
        <w:numPr>
          <w:ilvl w:val="1"/>
          <w:numId w:val="48"/>
        </w:numPr>
        <w:rPr>
          <w:rFonts w:ascii="Arial" w:cs="Arial" w:eastAsia="Arial" w:hAnsi="Arial"/>
          <w:sz w:val="18"/>
          <w:szCs w:val="18"/>
          <w:color w:val="auto"/>
        </w:rPr>
      </w:pPr>
      <w:r>
        <w:rPr>
          <w:rFonts w:ascii="Arial" w:cs="Arial" w:eastAsia="Arial" w:hAnsi="Arial"/>
          <w:sz w:val="18"/>
          <w:szCs w:val="18"/>
          <w:color w:val="auto"/>
        </w:rPr>
        <w:t>the conversion, exchange or exercise price of the Rights-Bearing Obligations shall be set with reference to the market conditions prevailing at the date on which the Rights-Bearing Obligations are issued; and</w:t>
      </w:r>
    </w:p>
    <w:p>
      <w:pPr>
        <w:spacing w:after="0" w:line="279" w:lineRule="exact"/>
        <w:rPr>
          <w:rFonts w:ascii="Arial" w:cs="Arial" w:eastAsia="Arial" w:hAnsi="Arial"/>
          <w:sz w:val="18"/>
          <w:szCs w:val="18"/>
          <w:color w:val="auto"/>
        </w:rPr>
      </w:pPr>
    </w:p>
    <w:p>
      <w:pPr>
        <w:ind w:left="833" w:right="60" w:hanging="509"/>
        <w:spacing w:after="0" w:line="244" w:lineRule="auto"/>
        <w:tabs>
          <w:tab w:leader="none" w:pos="833" w:val="left"/>
        </w:tabs>
        <w:numPr>
          <w:ilvl w:val="1"/>
          <w:numId w:val="48"/>
        </w:numPr>
        <w:rPr>
          <w:rFonts w:ascii="Arial" w:cs="Arial" w:eastAsia="Arial" w:hAnsi="Arial"/>
          <w:sz w:val="18"/>
          <w:szCs w:val="18"/>
          <w:color w:val="auto"/>
        </w:rPr>
      </w:pPr>
      <w:r>
        <w:rPr>
          <w:rFonts w:ascii="Arial" w:cs="Arial" w:eastAsia="Arial" w:hAnsi="Arial"/>
          <w:sz w:val="18"/>
          <w:szCs w:val="18"/>
          <w:color w:val="auto"/>
        </w:rPr>
        <w:t>the Rights-Bearing Obligations may be converted, exchanged or exercised during a maximum period of 30 years from the date of the relevant issuance or entry.</w:t>
      </w:r>
    </w:p>
    <w:p>
      <w:pPr>
        <w:spacing w:after="0" w:line="200" w:lineRule="exact"/>
        <w:rPr>
          <w:sz w:val="20"/>
          <w:szCs w:val="20"/>
          <w:color w:val="auto"/>
        </w:rPr>
      </w:pPr>
    </w:p>
    <w:p>
      <w:pPr>
        <w:spacing w:after="0" w:line="273" w:lineRule="exact"/>
        <w:rPr>
          <w:sz w:val="20"/>
          <w:szCs w:val="20"/>
          <w:color w:val="auto"/>
        </w:rPr>
      </w:pPr>
    </w:p>
    <w:p>
      <w:pPr>
        <w:ind w:left="273" w:hanging="273"/>
        <w:spacing w:after="0" w:line="220" w:lineRule="auto"/>
        <w:tabs>
          <w:tab w:leader="none" w:pos="273" w:val="left"/>
        </w:tabs>
        <w:numPr>
          <w:ilvl w:val="0"/>
          <w:numId w:val="49"/>
        </w:numPr>
        <w:rPr>
          <w:rFonts w:ascii="Arial" w:cs="Arial" w:eastAsia="Arial" w:hAnsi="Arial"/>
          <w:sz w:val="29"/>
          <w:szCs w:val="29"/>
          <w:color w:val="auto"/>
          <w:vertAlign w:val="superscript"/>
        </w:rPr>
      </w:pPr>
      <w:r>
        <w:rPr>
          <w:rFonts w:ascii="Arial" w:cs="Arial" w:eastAsia="Arial" w:hAnsi="Arial"/>
          <w:sz w:val="18"/>
          <w:szCs w:val="18"/>
          <w:color w:val="auto"/>
        </w:rPr>
        <w:t>The preemptive rights and advance subscription rights of the shareholders shall be excluded in connection with the issuance of any Shares or Rights-Bearing Obligations pursuant to Article 6 para 1(b) of these Articles of Association. Shares or Rights-Bearing Obligations shall be issued to any of the persons referred to in Article</w:t>
      </w:r>
    </w:p>
    <w:p>
      <w:pPr>
        <w:spacing w:after="0" w:line="4" w:lineRule="exact"/>
        <w:rPr>
          <w:rFonts w:ascii="Arial" w:cs="Arial" w:eastAsia="Arial" w:hAnsi="Arial"/>
          <w:sz w:val="29"/>
          <w:szCs w:val="29"/>
          <w:color w:val="auto"/>
          <w:vertAlign w:val="superscript"/>
        </w:rPr>
      </w:pPr>
    </w:p>
    <w:p>
      <w:pPr>
        <w:ind w:left="273" w:right="80"/>
        <w:spacing w:after="0" w:line="250" w:lineRule="auto"/>
        <w:rPr>
          <w:rFonts w:ascii="Arial" w:cs="Arial" w:eastAsia="Arial" w:hAnsi="Arial"/>
          <w:sz w:val="29"/>
          <w:szCs w:val="29"/>
          <w:color w:val="auto"/>
          <w:vertAlign w:val="superscript"/>
        </w:rPr>
      </w:pPr>
      <w:r>
        <w:rPr>
          <w:rFonts w:ascii="Arial" w:cs="Arial" w:eastAsia="Arial" w:hAnsi="Arial"/>
          <w:sz w:val="18"/>
          <w:szCs w:val="18"/>
          <w:color w:val="auto"/>
        </w:rPr>
        <w:t>6 para 1(b) of these Articles of Association in accordance</w:t>
      </w:r>
    </w:p>
    <w:p>
      <w:pPr>
        <w:sectPr>
          <w:pgSz w:w="11900" w:h="16838" w:orient="portrait"/>
          <w:cols w:equalWidth="0" w:num="2">
            <w:col w:w="4720" w:space="667"/>
            <w:col w:w="3733"/>
          </w:cols>
          <w:pgMar w:left="1440" w:top="670" w:right="1339" w:bottom="1440" w:gutter="0" w:footer="0" w:header="0"/>
        </w:sectPr>
      </w:pPr>
    </w:p>
    <w:bookmarkStart w:id="15" w:name="page16"/>
    <w:bookmarkEnd w:id="15"/>
    <w:p>
      <w:pPr>
        <w:jc w:val="center"/>
        <w:ind w:right="-299"/>
        <w:spacing w:after="0"/>
        <w:rPr>
          <w:sz w:val="20"/>
          <w:szCs w:val="20"/>
          <w:color w:val="auto"/>
        </w:rPr>
      </w:pPr>
      <w:r>
        <w:rPr>
          <w:rFonts w:ascii="Arial" w:cs="Arial" w:eastAsia="Arial" w:hAnsi="Arial"/>
          <w:sz w:val="13"/>
          <w:szCs w:val="13"/>
          <w:color w:val="auto"/>
        </w:rPr>
        <w:t>- 9 -</w:t>
      </w:r>
    </w:p>
    <w:p>
      <w:pPr>
        <w:sectPr>
          <w:pgSz w:w="11900" w:h="16838" w:orient="portrait"/>
          <w:cols w:equalWidth="0" w:num="1">
            <w:col w:w="9340"/>
          </w:cols>
          <w:pgMar w:left="1220" w:top="670"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500" w:right="417"/>
        <w:spacing w:after="0" w:line="241" w:lineRule="auto"/>
        <w:rPr>
          <w:sz w:val="20"/>
          <w:szCs w:val="20"/>
          <w:color w:val="auto"/>
        </w:rPr>
      </w:pPr>
      <w:r>
        <w:rPr>
          <w:rFonts w:ascii="Arial" w:cs="Arial" w:eastAsia="Arial" w:hAnsi="Arial"/>
          <w:sz w:val="18"/>
          <w:szCs w:val="18"/>
          <w:color w:val="auto"/>
        </w:rPr>
        <w:t>gemäss einem oder mehreren Beteiligungsplänen der Gesellschaft. Die Ausgabe von Aktien an die Artikel</w:t>
      </w:r>
    </w:p>
    <w:p>
      <w:pPr>
        <w:spacing w:after="0" w:line="2" w:lineRule="exact"/>
        <w:rPr>
          <w:sz w:val="20"/>
          <w:szCs w:val="20"/>
          <w:color w:val="auto"/>
        </w:rPr>
      </w:pPr>
    </w:p>
    <w:p>
      <w:pPr>
        <w:ind w:left="1500" w:right="357"/>
        <w:spacing w:after="0" w:line="239" w:lineRule="auto"/>
        <w:rPr>
          <w:sz w:val="20"/>
          <w:szCs w:val="20"/>
          <w:color w:val="auto"/>
        </w:rPr>
      </w:pPr>
      <w:r>
        <w:rPr>
          <w:rFonts w:ascii="Arial" w:cs="Arial" w:eastAsia="Arial" w:hAnsi="Arial"/>
          <w:sz w:val="18"/>
          <w:szCs w:val="18"/>
          <w:color w:val="auto"/>
        </w:rPr>
        <w:t>6 Absatz 1(b) dieser Statuten genannten Personen kann zu einem Preis erfolgen, der unter dem Kurs der Börse liegt, an der die Aktien gehandelt werden, muss aber mindestens zum Nennwert erfolgen.</w:t>
      </w:r>
    </w:p>
    <w:p>
      <w:pPr>
        <w:spacing w:after="0" w:line="72" w:lineRule="exact"/>
        <w:rPr>
          <w:sz w:val="20"/>
          <w:szCs w:val="20"/>
          <w:color w:val="auto"/>
        </w:rPr>
      </w:pPr>
    </w:p>
    <w:p>
      <w:pPr>
        <w:ind w:left="1500" w:right="397" w:hanging="253"/>
        <w:spacing w:after="0" w:line="221" w:lineRule="auto"/>
        <w:tabs>
          <w:tab w:leader="none" w:pos="1500" w:val="left"/>
        </w:tabs>
        <w:numPr>
          <w:ilvl w:val="0"/>
          <w:numId w:val="50"/>
        </w:numPr>
        <w:rPr>
          <w:rFonts w:ascii="Arial" w:cs="Arial" w:eastAsia="Arial" w:hAnsi="Arial"/>
          <w:sz w:val="29"/>
          <w:szCs w:val="29"/>
          <w:color w:val="auto"/>
          <w:vertAlign w:val="superscript"/>
        </w:rPr>
      </w:pPr>
      <w:r>
        <w:rPr>
          <w:rFonts w:ascii="Arial" w:cs="Arial" w:eastAsia="Arial" w:hAnsi="Arial"/>
          <w:sz w:val="18"/>
          <w:szCs w:val="18"/>
          <w:color w:val="auto"/>
        </w:rPr>
        <w:t>Die neuen Aktien, welche über die Ausübung von mit Rechten verbundenen Obligationen erworben werden, unterliegen den Eintragungsbeschränkungen in das Aktienbuch gemäss Artikel 7 und 9 dieser Statuten.</w:t>
      </w:r>
    </w:p>
    <w:p>
      <w:pPr>
        <w:spacing w:after="0" w:line="74" w:lineRule="exact"/>
        <w:rPr>
          <w:rFonts w:ascii="Arial" w:cs="Arial" w:eastAsia="Arial" w:hAnsi="Arial"/>
          <w:sz w:val="29"/>
          <w:szCs w:val="29"/>
          <w:color w:val="auto"/>
          <w:vertAlign w:val="superscript"/>
        </w:rPr>
      </w:pPr>
    </w:p>
    <w:p>
      <w:pPr>
        <w:ind w:left="1500"/>
        <w:spacing w:after="0"/>
        <w:rPr>
          <w:rFonts w:ascii="Arial" w:cs="Arial" w:eastAsia="Arial" w:hAnsi="Arial"/>
          <w:sz w:val="29"/>
          <w:szCs w:val="29"/>
          <w:color w:val="auto"/>
          <w:vertAlign w:val="superscript"/>
        </w:rPr>
      </w:pPr>
      <w:r>
        <w:rPr>
          <w:rFonts w:ascii="Arial" w:cs="Arial" w:eastAsia="Arial" w:hAnsi="Arial"/>
          <w:sz w:val="18"/>
          <w:szCs w:val="18"/>
          <w:b w:val="1"/>
          <w:bCs w:val="1"/>
          <w:color w:val="auto"/>
        </w:rPr>
        <w:t>Artikel 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0" w:lineRule="exact"/>
        <w:rPr>
          <w:sz w:val="20"/>
          <w:szCs w:val="20"/>
          <w:color w:val="auto"/>
        </w:rPr>
      </w:pPr>
    </w:p>
    <w:p>
      <w:pPr>
        <w:ind w:left="263" w:right="40"/>
        <w:spacing w:after="0"/>
        <w:rPr>
          <w:sz w:val="20"/>
          <w:szCs w:val="20"/>
          <w:color w:val="auto"/>
        </w:rPr>
      </w:pPr>
      <w:r>
        <w:rPr>
          <w:rFonts w:ascii="Arial" w:cs="Arial" w:eastAsia="Arial" w:hAnsi="Arial"/>
          <w:sz w:val="18"/>
          <w:szCs w:val="18"/>
          <w:color w:val="auto"/>
        </w:rPr>
        <w:t>with one or more benefit or incentive plans of the Company. Shares may be issued to any of the persons referred to in Article 6 para 1(b) of these Articles of Association at a price lower than the current market price quoted on the stock exchange on which the Shares are traded, but at least at par value.</w:t>
      </w:r>
    </w:p>
    <w:p>
      <w:pPr>
        <w:spacing w:after="0" w:line="72" w:lineRule="exact"/>
        <w:rPr>
          <w:sz w:val="20"/>
          <w:szCs w:val="20"/>
          <w:color w:val="auto"/>
        </w:rPr>
      </w:pPr>
    </w:p>
    <w:p>
      <w:pPr>
        <w:ind w:left="263" w:right="140" w:hanging="263"/>
        <w:spacing w:after="0" w:line="219" w:lineRule="auto"/>
        <w:tabs>
          <w:tab w:leader="none" w:pos="263" w:val="left"/>
        </w:tabs>
        <w:numPr>
          <w:ilvl w:val="0"/>
          <w:numId w:val="51"/>
        </w:numPr>
        <w:rPr>
          <w:rFonts w:ascii="Arial" w:cs="Arial" w:eastAsia="Arial" w:hAnsi="Arial"/>
          <w:sz w:val="29"/>
          <w:szCs w:val="29"/>
          <w:color w:val="auto"/>
          <w:vertAlign w:val="superscript"/>
        </w:rPr>
      </w:pPr>
      <w:r>
        <w:rPr>
          <w:rFonts w:ascii="Arial" w:cs="Arial" w:eastAsia="Arial" w:hAnsi="Arial"/>
          <w:sz w:val="18"/>
          <w:szCs w:val="18"/>
          <w:color w:val="auto"/>
        </w:rPr>
        <w:t>The new Shares acquired through the exercise of Rights-Bearing Obligations shall be subject to the limitations for registration in the share register pursuant to Articles 7 and 9 of these Articles of Association.</w:t>
      </w:r>
    </w:p>
    <w:p>
      <w:pPr>
        <w:spacing w:after="0" w:line="276" w:lineRule="exact"/>
        <w:rPr>
          <w:rFonts w:ascii="Arial" w:cs="Arial" w:eastAsia="Arial" w:hAnsi="Arial"/>
          <w:sz w:val="29"/>
          <w:szCs w:val="29"/>
          <w:color w:val="auto"/>
          <w:vertAlign w:val="superscript"/>
        </w:rPr>
      </w:pPr>
    </w:p>
    <w:p>
      <w:pPr>
        <w:ind w:left="263"/>
        <w:spacing w:after="0"/>
        <w:rPr>
          <w:rFonts w:ascii="Arial" w:cs="Arial" w:eastAsia="Arial" w:hAnsi="Arial"/>
          <w:sz w:val="29"/>
          <w:szCs w:val="29"/>
          <w:color w:val="auto"/>
          <w:vertAlign w:val="superscript"/>
        </w:rPr>
      </w:pPr>
      <w:r>
        <w:rPr>
          <w:rFonts w:ascii="Arial" w:cs="Arial" w:eastAsia="Arial" w:hAnsi="Arial"/>
          <w:sz w:val="18"/>
          <w:szCs w:val="18"/>
          <w:b w:val="1"/>
          <w:bCs w:val="1"/>
          <w:color w:val="auto"/>
        </w:rPr>
        <w:t>Article 7</w:t>
      </w:r>
    </w:p>
    <w:p>
      <w:pPr>
        <w:spacing w:after="0" w:line="200" w:lineRule="exact"/>
        <w:rPr>
          <w:sz w:val="20"/>
          <w:szCs w:val="20"/>
          <w:color w:val="auto"/>
        </w:rPr>
      </w:pPr>
    </w:p>
    <w:p>
      <w:pPr>
        <w:sectPr>
          <w:pgSz w:w="11900" w:h="16838" w:orient="portrait"/>
          <w:cols w:equalWidth="0" w:num="2">
            <w:col w:w="5157" w:space="720"/>
            <w:col w:w="3463"/>
          </w:cols>
          <w:pgMar w:left="1220" w:top="670" w:right="1339" w:bottom="1440" w:gutter="0" w:footer="0" w:header="0"/>
          <w:type w:val="continuous"/>
        </w:sectPr>
      </w:pPr>
    </w:p>
    <w:p>
      <w:pPr>
        <w:spacing w:after="0" w:line="35" w:lineRule="exact"/>
        <w:rPr>
          <w:sz w:val="20"/>
          <w:szCs w:val="20"/>
          <w:color w:val="auto"/>
        </w:rPr>
      </w:pPr>
    </w:p>
    <w:p>
      <w:pPr>
        <w:spacing w:after="0" w:line="252" w:lineRule="auto"/>
        <w:rPr>
          <w:sz w:val="20"/>
          <w:szCs w:val="20"/>
          <w:color w:val="auto"/>
        </w:rPr>
      </w:pPr>
      <w:r>
        <w:rPr>
          <w:rFonts w:ascii="Arial" w:cs="Arial" w:eastAsia="Arial" w:hAnsi="Arial"/>
          <w:sz w:val="14"/>
          <w:szCs w:val="14"/>
          <w:color w:val="auto"/>
        </w:rPr>
        <w:t>Aktienbuch, Rechtsausübung, Eintragungsbe-schränkungen, Nominees</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ind w:left="253" w:right="20" w:hanging="253"/>
        <w:spacing w:after="0" w:line="230" w:lineRule="auto"/>
        <w:tabs>
          <w:tab w:leader="none" w:pos="253" w:val="left"/>
        </w:tabs>
        <w:numPr>
          <w:ilvl w:val="0"/>
          <w:numId w:val="52"/>
        </w:numPr>
        <w:rPr>
          <w:rFonts w:ascii="Arial" w:cs="Arial" w:eastAsia="Arial" w:hAnsi="Arial"/>
          <w:sz w:val="29"/>
          <w:szCs w:val="29"/>
          <w:color w:val="auto"/>
          <w:vertAlign w:val="superscript"/>
        </w:rPr>
      </w:pPr>
      <w:r>
        <w:rPr>
          <w:rFonts w:ascii="Arial" w:cs="Arial" w:eastAsia="Arial" w:hAnsi="Arial"/>
          <w:sz w:val="18"/>
          <w:szCs w:val="18"/>
          <w:color w:val="auto"/>
        </w:rPr>
        <w:t>Die Gesellschaft oder von ihr beauftragte Dritte führen ein Aktienbuch. Darin werden die Eigentümer und Nutzniesser der Aktien sowie Nominees mit Namen und Vornamen, Wohnort, Adresse und Staatsangehörigkeit (bei juristischen Personen mit Firma und Sitz) eingetragen. Die Gesellschaft oder der von ihr mit der Aktienbuchführung beauftragte Dritte ist berechtigt, bei Eintragung im Aktienbuch von der antragstellenden Person einen angemessenen Nachweis seiner Berechtigung an den Aktien zu verlangen. Ändert eine im Aktienbuch eingetragene Person ihre Adresse, so hat sie dies dem Aktienbuchführer mitzuteilen. Solange dies nicht geschehen ist, gelten alle brieflichen Mitteilungen der Gesellschaft an die im Aktienbuch eingetragenen Personen als rechtsgültig an die bisher im Aktienbuch eingetragene Adresse erfolgt.</w:t>
      </w:r>
    </w:p>
    <w:p>
      <w:pPr>
        <w:spacing w:after="0" w:line="82" w:lineRule="exact"/>
        <w:rPr>
          <w:sz w:val="20"/>
          <w:szCs w:val="20"/>
          <w:color w:val="auto"/>
        </w:rPr>
      </w:pPr>
    </w:p>
    <w:p>
      <w:pPr>
        <w:ind w:left="253" w:hanging="253"/>
        <w:spacing w:after="0" w:line="227" w:lineRule="auto"/>
        <w:tabs>
          <w:tab w:leader="none" w:pos="253" w:val="left"/>
        </w:tabs>
        <w:numPr>
          <w:ilvl w:val="0"/>
          <w:numId w:val="53"/>
        </w:numPr>
        <w:rPr>
          <w:rFonts w:ascii="Arial" w:cs="Arial" w:eastAsia="Arial" w:hAnsi="Arial"/>
          <w:sz w:val="29"/>
          <w:szCs w:val="29"/>
          <w:color w:val="auto"/>
          <w:vertAlign w:val="superscript"/>
        </w:rPr>
      </w:pPr>
      <w:r>
        <w:rPr>
          <w:rFonts w:ascii="Arial" w:cs="Arial" w:eastAsia="Arial" w:hAnsi="Arial"/>
          <w:sz w:val="18"/>
          <w:szCs w:val="18"/>
          <w:color w:val="auto"/>
        </w:rPr>
        <w:t>Ein Erwerber von Aktien wird auf Gesuch als Aktionär mit Stimmrecht im Aktienbuch eingetragen, vorausgesetzt, dass ein solcher Erwerber ausdrücklich erklärt, die Aktien im eigenen Namen und auf eigene Rechnung erworben zu haben. Der Verwaltungsrat kann Nominees, welche Aktien im eigenen Namen aber auf fremde Rechnung halten, als Aktionäre mit Stimmrecht im Aktienbuch der Gesellschaft eintragen. Die an den Aktien wirtschaftlich Berechtigten,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-877570</wp:posOffset>
            </wp:positionH>
            <wp:positionV relativeFrom="paragraph">
              <wp:posOffset>368935</wp:posOffset>
            </wp:positionV>
            <wp:extent cx="629221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Share</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Register,</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Exercise of</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Rights,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Restrictions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on</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Registration,</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Nominees</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ind w:left="263" w:right="60" w:hanging="263"/>
        <w:spacing w:after="0" w:line="230" w:lineRule="auto"/>
        <w:tabs>
          <w:tab w:leader="none" w:pos="263" w:val="left"/>
        </w:tabs>
        <w:numPr>
          <w:ilvl w:val="0"/>
          <w:numId w:val="54"/>
        </w:numPr>
        <w:rPr>
          <w:rFonts w:ascii="Arial" w:cs="Arial" w:eastAsia="Arial" w:hAnsi="Arial"/>
          <w:sz w:val="29"/>
          <w:szCs w:val="29"/>
          <w:color w:val="auto"/>
          <w:vertAlign w:val="superscript"/>
        </w:rPr>
      </w:pPr>
      <w:r>
        <w:rPr>
          <w:rFonts w:ascii="Arial" w:cs="Arial" w:eastAsia="Arial" w:hAnsi="Arial"/>
          <w:sz w:val="18"/>
          <w:szCs w:val="18"/>
          <w:color w:val="auto"/>
        </w:rPr>
        <w:t>The Company shall maintain, itself or through a third party, a share register that lists the surname, first name, address and citizenship (in the case of legal entities, the company name and company seat) of the holders and usufructuaries of the Shares as well as the nominees. The Company or the third party maintaining the share register on behalf of the Company shall be entitled to request at the time of the entry into the share register from the Person requesting such entry appropriate evidence of that Person's title to the Shares. A person recorded in the share register shall notify the share registrar of any change in address. Until such notification shall have occurred, all written communication from the Company to persons of record shall be deemed to have validly been made if sent to the address recorded in the share register.</w:t>
      </w:r>
    </w:p>
    <w:p>
      <w:pPr>
        <w:spacing w:after="0" w:line="82" w:lineRule="exact"/>
        <w:rPr>
          <w:sz w:val="20"/>
          <w:szCs w:val="20"/>
          <w:color w:val="auto"/>
        </w:rPr>
      </w:pPr>
    </w:p>
    <w:p>
      <w:pPr>
        <w:ind w:left="263" w:hanging="263"/>
        <w:spacing w:after="0" w:line="226" w:lineRule="auto"/>
        <w:tabs>
          <w:tab w:leader="none" w:pos="263" w:val="left"/>
        </w:tabs>
        <w:numPr>
          <w:ilvl w:val="0"/>
          <w:numId w:val="55"/>
        </w:numPr>
        <w:rPr>
          <w:rFonts w:ascii="Arial" w:cs="Arial" w:eastAsia="Arial" w:hAnsi="Arial"/>
          <w:sz w:val="29"/>
          <w:szCs w:val="29"/>
          <w:color w:val="auto"/>
          <w:vertAlign w:val="superscript"/>
        </w:rPr>
      </w:pPr>
      <w:r>
        <w:rPr>
          <w:rFonts w:ascii="Arial" w:cs="Arial" w:eastAsia="Arial" w:hAnsi="Arial"/>
          <w:sz w:val="18"/>
          <w:szCs w:val="18"/>
          <w:color w:val="auto"/>
        </w:rPr>
        <w:t xml:space="preserve">An acquirer of Shares shall be recorded upon request in the share register as a shareholder with voting rights;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any such acquirer</w:t>
      </w:r>
      <w:r>
        <w:rPr>
          <w:rFonts w:ascii="Arial" w:cs="Arial" w:eastAsia="Arial" w:hAnsi="Arial"/>
          <w:sz w:val="18"/>
          <w:szCs w:val="18"/>
          <w:i w:val="1"/>
          <w:iCs w:val="1"/>
          <w:color w:val="auto"/>
        </w:rPr>
        <w:t xml:space="preserve"> </w:t>
      </w:r>
      <w:r>
        <w:rPr>
          <w:rFonts w:ascii="Arial" w:cs="Arial" w:eastAsia="Arial" w:hAnsi="Arial"/>
          <w:sz w:val="18"/>
          <w:szCs w:val="18"/>
          <w:color w:val="auto"/>
        </w:rPr>
        <w:t>expressly declares to have acquired the Shares in its own name and for its own account, save that the Board of Directors may record nominees who hold Shares in their own name, but for the account of third parties, as shareholders of record with voting rights in the share register of the Company.</w:t>
      </w:r>
    </w:p>
    <w:p>
      <w:pPr>
        <w:sectPr>
          <w:pgSz w:w="11900" w:h="16838" w:orient="portrait"/>
          <w:cols w:equalWidth="0" w:num="4">
            <w:col w:w="1120" w:space="127"/>
            <w:col w:w="3553" w:space="140"/>
            <w:col w:w="800" w:space="137"/>
            <w:col w:w="3463"/>
          </w:cols>
          <w:pgMar w:left="1220" w:top="670" w:right="1339" w:bottom="1440" w:gutter="0" w:footer="0" w:header="0"/>
          <w:type w:val="continuous"/>
        </w:sectPr>
      </w:pPr>
    </w:p>
    <w:bookmarkStart w:id="16" w:name="page17"/>
    <w:bookmarkEnd w:id="1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line="285" w:lineRule="auto"/>
        <w:rPr>
          <w:sz w:val="20"/>
          <w:szCs w:val="20"/>
          <w:color w:val="auto"/>
        </w:rPr>
      </w:pPr>
      <w:r>
        <w:rPr>
          <w:rFonts w:ascii="Arial" w:cs="Arial" w:eastAsia="Arial" w:hAnsi="Arial"/>
          <w:sz w:val="14"/>
          <w:szCs w:val="14"/>
          <w:color w:val="auto"/>
        </w:rPr>
        <w:t>Form der Aktien</w:t>
      </w:r>
    </w:p>
    <w:p>
      <w:pPr>
        <w:spacing w:after="0" w:line="20" w:lineRule="exact"/>
        <w:rPr>
          <w:sz w:val="20"/>
          <w:szCs w:val="20"/>
          <w:color w:val="auto"/>
        </w:rPr>
      </w:pPr>
      <w:r>
        <w:rPr>
          <w:sz w:val="20"/>
          <w:szCs w:val="20"/>
          <w:color w:val="auto"/>
        </w:rPr>
        <w:br w:type="column"/>
      </w:r>
    </w:p>
    <w:p>
      <w:pPr>
        <w:jc w:val="right"/>
        <w:ind w:right="280"/>
        <w:spacing w:after="0"/>
        <w:rPr>
          <w:sz w:val="20"/>
          <w:szCs w:val="20"/>
          <w:color w:val="auto"/>
        </w:rPr>
      </w:pPr>
      <w:r>
        <w:rPr>
          <w:rFonts w:ascii="Arial" w:cs="Arial" w:eastAsia="Arial" w:hAnsi="Arial"/>
          <w:sz w:val="14"/>
          <w:szCs w:val="14"/>
          <w:color w:val="auto"/>
        </w:rPr>
        <w:t>- 10 -</w:t>
      </w:r>
    </w:p>
    <w:p>
      <w:pPr>
        <w:spacing w:after="0" w:line="200" w:lineRule="exact"/>
        <w:rPr>
          <w:sz w:val="20"/>
          <w:szCs w:val="20"/>
          <w:color w:val="auto"/>
        </w:rPr>
      </w:pPr>
    </w:p>
    <w:p>
      <w:pPr>
        <w:spacing w:after="0" w:line="399" w:lineRule="exact"/>
        <w:rPr>
          <w:sz w:val="20"/>
          <w:szCs w:val="20"/>
          <w:color w:val="auto"/>
        </w:rPr>
      </w:pPr>
    </w:p>
    <w:p>
      <w:pPr>
        <w:ind w:left="280" w:right="620"/>
        <w:spacing w:after="0" w:line="253" w:lineRule="auto"/>
        <w:rPr>
          <w:sz w:val="20"/>
          <w:szCs w:val="20"/>
          <w:color w:val="auto"/>
        </w:rPr>
      </w:pPr>
      <w:r>
        <w:rPr>
          <w:rFonts w:ascii="Arial" w:cs="Arial" w:eastAsia="Arial" w:hAnsi="Arial"/>
          <w:sz w:val="18"/>
          <w:szCs w:val="18"/>
          <w:color w:val="auto"/>
        </w:rPr>
        <w:t>welche die Aktien über einen Nominee halten, üben Aktionärsrechte mittelbar über den Nominee aus.</w:t>
      </w:r>
    </w:p>
    <w:p>
      <w:pPr>
        <w:spacing w:after="0" w:line="263" w:lineRule="exact"/>
        <w:rPr>
          <w:sz w:val="20"/>
          <w:szCs w:val="20"/>
          <w:color w:val="auto"/>
        </w:rPr>
      </w:pPr>
    </w:p>
    <w:p>
      <w:pPr>
        <w:ind w:left="280" w:right="640" w:hanging="277"/>
        <w:spacing w:after="0" w:line="224" w:lineRule="auto"/>
        <w:tabs>
          <w:tab w:leader="none" w:pos="280" w:val="left"/>
        </w:tabs>
        <w:numPr>
          <w:ilvl w:val="0"/>
          <w:numId w:val="56"/>
        </w:numPr>
        <w:rPr>
          <w:rFonts w:ascii="Arial" w:cs="Arial" w:eastAsia="Arial" w:hAnsi="Arial"/>
          <w:sz w:val="29"/>
          <w:szCs w:val="29"/>
          <w:color w:val="auto"/>
          <w:vertAlign w:val="superscript"/>
        </w:rPr>
      </w:pPr>
      <w:r>
        <w:rPr>
          <w:rFonts w:ascii="Arial" w:cs="Arial" w:eastAsia="Arial" w:hAnsi="Arial"/>
          <w:sz w:val="18"/>
          <w:szCs w:val="18"/>
          <w:color w:val="auto"/>
        </w:rPr>
        <w:t>Der Verwaltungsrat kann nach Anhörung des eingetragenen Aktionärs dessen Eintragung im Aktienbuch als Aktionär mit Stimmrecht mit Rückwirkung auf das Datum der Eintragung streichen, wenn diese durch falsche oder irreführende Angaben zustande gekommen ist. Der Betroffene muss über die Streichung sofort informiert werden.</w:t>
      </w:r>
    </w:p>
    <w:p>
      <w:pPr>
        <w:spacing w:after="0" w:line="73" w:lineRule="exact"/>
        <w:rPr>
          <w:rFonts w:ascii="Arial" w:cs="Arial" w:eastAsia="Arial" w:hAnsi="Arial"/>
          <w:sz w:val="29"/>
          <w:szCs w:val="29"/>
          <w:color w:val="auto"/>
          <w:vertAlign w:val="superscript"/>
        </w:rPr>
      </w:pPr>
    </w:p>
    <w:p>
      <w:pPr>
        <w:ind w:left="280"/>
        <w:spacing w:after="0"/>
        <w:rPr>
          <w:rFonts w:ascii="Arial" w:cs="Arial" w:eastAsia="Arial" w:hAnsi="Arial"/>
          <w:sz w:val="29"/>
          <w:szCs w:val="29"/>
          <w:color w:val="auto"/>
          <w:vertAlign w:val="superscript"/>
        </w:rPr>
      </w:pPr>
      <w:r>
        <w:rPr>
          <w:rFonts w:ascii="Arial" w:cs="Arial" w:eastAsia="Arial" w:hAnsi="Arial"/>
          <w:sz w:val="18"/>
          <w:szCs w:val="18"/>
          <w:b w:val="1"/>
          <w:bCs w:val="1"/>
          <w:color w:val="auto"/>
        </w:rPr>
        <w:t>Artikel 8</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322"/>
        </w:trPr>
        <w:tc>
          <w:tcPr>
            <w:tcW w:w="3780" w:type="dxa"/>
            <w:vAlign w:val="bottom"/>
          </w:tcPr>
          <w:p>
            <w:pPr>
              <w:spacing w:after="0"/>
              <w:rPr>
                <w:sz w:val="20"/>
                <w:szCs w:val="20"/>
                <w:color w:val="auto"/>
              </w:rPr>
            </w:pPr>
            <w:r>
              <w:rPr>
                <w:rFonts w:ascii="Arial" w:cs="Arial" w:eastAsia="Arial" w:hAnsi="Arial"/>
                <w:sz w:val="28"/>
                <w:szCs w:val="28"/>
                <w:color w:val="auto"/>
                <w:vertAlign w:val="superscript"/>
              </w:rPr>
              <w:t>1</w:t>
            </w:r>
            <w:r>
              <w:rPr>
                <w:rFonts w:ascii="Arial" w:cs="Arial" w:eastAsia="Arial" w:hAnsi="Arial"/>
                <w:sz w:val="18"/>
                <w:szCs w:val="18"/>
                <w:color w:val="auto"/>
              </w:rPr>
              <w:t xml:space="preserve">   Die Gesellschaft gibt Aktien in Form von</w:t>
            </w:r>
          </w:p>
        </w:tc>
        <w:tc>
          <w:tcPr>
            <w:tcW w:w="560" w:type="dxa"/>
            <w:vAlign w:val="bottom"/>
          </w:tcPr>
          <w:p>
            <w:pPr>
              <w:ind w:left="80"/>
              <w:spacing w:after="0"/>
              <w:rPr>
                <w:sz w:val="20"/>
                <w:szCs w:val="20"/>
                <w:color w:val="auto"/>
              </w:rPr>
            </w:pPr>
            <w:r>
              <w:rPr>
                <w:rFonts w:ascii="Arial" w:cs="Arial" w:eastAsia="Arial" w:hAnsi="Arial"/>
                <w:sz w:val="14"/>
                <w:szCs w:val="14"/>
                <w:color w:val="auto"/>
                <w:w w:val="95"/>
              </w:rPr>
              <w:t>Form of</w:t>
            </w:r>
          </w:p>
        </w:tc>
      </w:tr>
      <w:tr>
        <w:trPr>
          <w:trHeight w:val="224"/>
        </w:trPr>
        <w:tc>
          <w:tcPr>
            <w:tcW w:w="3780" w:type="dxa"/>
            <w:vAlign w:val="bottom"/>
          </w:tcPr>
          <w:p>
            <w:pPr>
              <w:ind w:left="280"/>
              <w:spacing w:after="0"/>
              <w:rPr>
                <w:sz w:val="20"/>
                <w:szCs w:val="20"/>
                <w:color w:val="auto"/>
              </w:rPr>
            </w:pPr>
            <w:r>
              <w:rPr>
                <w:rFonts w:ascii="Arial" w:cs="Arial" w:eastAsia="Arial" w:hAnsi="Arial"/>
                <w:sz w:val="18"/>
                <w:szCs w:val="18"/>
                <w:color w:val="auto"/>
              </w:rPr>
              <w:t>Einzelurkunden, Globalurkunden oder</w:t>
            </w:r>
          </w:p>
        </w:tc>
        <w:tc>
          <w:tcPr>
            <w:tcW w:w="560" w:type="dxa"/>
            <w:vAlign w:val="bottom"/>
          </w:tcPr>
          <w:p>
            <w:pPr>
              <w:ind w:left="80"/>
              <w:spacing w:after="0"/>
              <w:rPr>
                <w:sz w:val="20"/>
                <w:szCs w:val="20"/>
                <w:color w:val="auto"/>
              </w:rPr>
            </w:pPr>
            <w:r>
              <w:rPr>
                <w:rFonts w:ascii="Arial" w:cs="Arial" w:eastAsia="Arial" w:hAnsi="Arial"/>
                <w:sz w:val="14"/>
                <w:szCs w:val="14"/>
                <w:color w:val="auto"/>
              </w:rPr>
              <w:t>Shares</w:t>
            </w:r>
          </w:p>
        </w:tc>
      </w:tr>
      <w:tr>
        <w:trPr>
          <w:trHeight w:val="203"/>
        </w:trPr>
        <w:tc>
          <w:tcPr>
            <w:tcW w:w="3780" w:type="dxa"/>
            <w:vAlign w:val="bottom"/>
          </w:tcPr>
          <w:p>
            <w:pPr>
              <w:ind w:left="280"/>
              <w:spacing w:after="0" w:line="202" w:lineRule="exact"/>
              <w:rPr>
                <w:sz w:val="20"/>
                <w:szCs w:val="20"/>
                <w:color w:val="auto"/>
              </w:rPr>
            </w:pPr>
            <w:r>
              <w:rPr>
                <w:rFonts w:ascii="Arial" w:cs="Arial" w:eastAsia="Arial" w:hAnsi="Arial"/>
                <w:sz w:val="18"/>
                <w:szCs w:val="18"/>
                <w:color w:val="auto"/>
              </w:rPr>
              <w:t>Wertrechten aus. Der Gesellschaft steht es</w:t>
            </w:r>
          </w:p>
        </w:tc>
        <w:tc>
          <w:tcPr>
            <w:tcW w:w="560" w:type="dxa"/>
            <w:vAlign w:val="bottom"/>
          </w:tcPr>
          <w:p>
            <w:pPr>
              <w:spacing w:after="0"/>
              <w:rPr>
                <w:sz w:val="17"/>
                <w:szCs w:val="17"/>
                <w:color w:val="auto"/>
              </w:rPr>
            </w:pPr>
          </w:p>
        </w:tc>
      </w:tr>
      <w:tr>
        <w:trPr>
          <w:trHeight w:val="203"/>
        </w:trPr>
        <w:tc>
          <w:tcPr>
            <w:tcW w:w="3780" w:type="dxa"/>
            <w:vAlign w:val="bottom"/>
          </w:tcPr>
          <w:p>
            <w:pPr>
              <w:ind w:left="280"/>
              <w:spacing w:after="0" w:line="202" w:lineRule="exact"/>
              <w:rPr>
                <w:sz w:val="20"/>
                <w:szCs w:val="20"/>
                <w:color w:val="auto"/>
              </w:rPr>
            </w:pPr>
            <w:r>
              <w:rPr>
                <w:rFonts w:ascii="Arial" w:cs="Arial" w:eastAsia="Arial" w:hAnsi="Arial"/>
                <w:sz w:val="18"/>
                <w:szCs w:val="18"/>
                <w:color w:val="auto"/>
              </w:rPr>
              <w:t>im Rahmen der gesetzlichen Vorgaben</w:t>
            </w:r>
          </w:p>
        </w:tc>
        <w:tc>
          <w:tcPr>
            <w:tcW w:w="560" w:type="dxa"/>
            <w:vAlign w:val="bottom"/>
          </w:tcPr>
          <w:p>
            <w:pPr>
              <w:spacing w:after="0"/>
              <w:rPr>
                <w:sz w:val="17"/>
                <w:szCs w:val="17"/>
                <w:color w:val="auto"/>
              </w:rPr>
            </w:pPr>
          </w:p>
        </w:tc>
      </w:tr>
      <w:tr>
        <w:trPr>
          <w:trHeight w:val="203"/>
        </w:trPr>
        <w:tc>
          <w:tcPr>
            <w:tcW w:w="3780" w:type="dxa"/>
            <w:vAlign w:val="bottom"/>
          </w:tcPr>
          <w:p>
            <w:pPr>
              <w:ind w:left="280"/>
              <w:spacing w:after="0" w:line="202" w:lineRule="exact"/>
              <w:rPr>
                <w:sz w:val="20"/>
                <w:szCs w:val="20"/>
                <w:color w:val="auto"/>
              </w:rPr>
            </w:pPr>
            <w:r>
              <w:rPr>
                <w:rFonts w:ascii="Arial" w:cs="Arial" w:eastAsia="Arial" w:hAnsi="Arial"/>
                <w:sz w:val="18"/>
                <w:szCs w:val="18"/>
                <w:color w:val="auto"/>
              </w:rPr>
              <w:t>frei, ihre in einer dieser Formen</w:t>
            </w:r>
          </w:p>
        </w:tc>
        <w:tc>
          <w:tcPr>
            <w:tcW w:w="560" w:type="dxa"/>
            <w:vAlign w:val="bottom"/>
          </w:tcPr>
          <w:p>
            <w:pPr>
              <w:spacing w:after="0"/>
              <w:rPr>
                <w:sz w:val="17"/>
                <w:szCs w:val="17"/>
                <w:color w:val="auto"/>
              </w:rPr>
            </w:pPr>
          </w:p>
        </w:tc>
      </w:tr>
      <w:tr>
        <w:trPr>
          <w:trHeight w:val="203"/>
        </w:trPr>
        <w:tc>
          <w:tcPr>
            <w:tcW w:w="3780" w:type="dxa"/>
            <w:vAlign w:val="bottom"/>
          </w:tcPr>
          <w:p>
            <w:pPr>
              <w:ind w:left="280"/>
              <w:spacing w:after="0" w:line="202" w:lineRule="exact"/>
              <w:rPr>
                <w:sz w:val="20"/>
                <w:szCs w:val="20"/>
                <w:color w:val="auto"/>
              </w:rPr>
            </w:pPr>
            <w:r>
              <w:rPr>
                <w:rFonts w:ascii="Arial" w:cs="Arial" w:eastAsia="Arial" w:hAnsi="Arial"/>
                <w:sz w:val="18"/>
                <w:szCs w:val="18"/>
                <w:color w:val="auto"/>
              </w:rPr>
              <w:t>ausgegebenen Aktien jederzeit und ohne</w:t>
            </w:r>
          </w:p>
        </w:tc>
        <w:tc>
          <w:tcPr>
            <w:tcW w:w="560" w:type="dxa"/>
            <w:vAlign w:val="bottom"/>
          </w:tcPr>
          <w:p>
            <w:pPr>
              <w:spacing w:after="0"/>
              <w:rPr>
                <w:sz w:val="17"/>
                <w:szCs w:val="17"/>
                <w:color w:val="auto"/>
              </w:rPr>
            </w:pPr>
          </w:p>
        </w:tc>
      </w:tr>
      <w:tr>
        <w:trPr>
          <w:trHeight w:val="203"/>
        </w:trPr>
        <w:tc>
          <w:tcPr>
            <w:tcW w:w="3780" w:type="dxa"/>
            <w:vAlign w:val="bottom"/>
          </w:tcPr>
          <w:p>
            <w:pPr>
              <w:ind w:left="280"/>
              <w:spacing w:after="0" w:line="202" w:lineRule="exact"/>
              <w:rPr>
                <w:sz w:val="20"/>
                <w:szCs w:val="20"/>
                <w:color w:val="auto"/>
              </w:rPr>
            </w:pPr>
            <w:r>
              <w:rPr>
                <w:rFonts w:ascii="Arial" w:cs="Arial" w:eastAsia="Arial" w:hAnsi="Arial"/>
                <w:sz w:val="18"/>
                <w:szCs w:val="18"/>
                <w:color w:val="auto"/>
              </w:rPr>
              <w:t>Zustimmung der Aktionäre in eine andere</w:t>
            </w:r>
          </w:p>
        </w:tc>
        <w:tc>
          <w:tcPr>
            <w:tcW w:w="560" w:type="dxa"/>
            <w:vAlign w:val="bottom"/>
          </w:tcPr>
          <w:p>
            <w:pPr>
              <w:spacing w:after="0"/>
              <w:rPr>
                <w:sz w:val="17"/>
                <w:szCs w:val="17"/>
                <w:color w:val="auto"/>
              </w:rPr>
            </w:pPr>
          </w:p>
        </w:tc>
      </w:tr>
      <w:tr>
        <w:trPr>
          <w:trHeight w:val="203"/>
        </w:trPr>
        <w:tc>
          <w:tcPr>
            <w:tcW w:w="3780" w:type="dxa"/>
            <w:vAlign w:val="bottom"/>
          </w:tcPr>
          <w:p>
            <w:pPr>
              <w:ind w:left="280"/>
              <w:spacing w:after="0" w:line="202" w:lineRule="exact"/>
              <w:rPr>
                <w:sz w:val="20"/>
                <w:szCs w:val="20"/>
                <w:color w:val="auto"/>
              </w:rPr>
            </w:pPr>
            <w:r>
              <w:rPr>
                <w:rFonts w:ascii="Arial" w:cs="Arial" w:eastAsia="Arial" w:hAnsi="Arial"/>
                <w:sz w:val="18"/>
                <w:szCs w:val="18"/>
                <w:color w:val="auto"/>
              </w:rPr>
              <w:t>Form umzuwandeln. Die Gesellschaft trägt</w:t>
            </w:r>
          </w:p>
        </w:tc>
        <w:tc>
          <w:tcPr>
            <w:tcW w:w="560" w:type="dxa"/>
            <w:vAlign w:val="bottom"/>
          </w:tcPr>
          <w:p>
            <w:pPr>
              <w:spacing w:after="0"/>
              <w:rPr>
                <w:sz w:val="17"/>
                <w:szCs w:val="17"/>
                <w:color w:val="auto"/>
              </w:rPr>
            </w:pPr>
          </w:p>
        </w:tc>
      </w:tr>
      <w:tr>
        <w:trPr>
          <w:trHeight w:val="203"/>
        </w:trPr>
        <w:tc>
          <w:tcPr>
            <w:tcW w:w="3780" w:type="dxa"/>
            <w:vAlign w:val="bottom"/>
          </w:tcPr>
          <w:p>
            <w:pPr>
              <w:ind w:left="280"/>
              <w:spacing w:after="0" w:line="202" w:lineRule="exact"/>
              <w:rPr>
                <w:sz w:val="20"/>
                <w:szCs w:val="20"/>
                <w:color w:val="auto"/>
              </w:rPr>
            </w:pPr>
            <w:r>
              <w:rPr>
                <w:rFonts w:ascii="Arial" w:cs="Arial" w:eastAsia="Arial" w:hAnsi="Arial"/>
                <w:sz w:val="18"/>
                <w:szCs w:val="18"/>
                <w:color w:val="auto"/>
              </w:rPr>
              <w:t>die Kosten, die bei einer solchen</w:t>
            </w:r>
          </w:p>
        </w:tc>
        <w:tc>
          <w:tcPr>
            <w:tcW w:w="560" w:type="dxa"/>
            <w:vAlign w:val="bottom"/>
          </w:tcPr>
          <w:p>
            <w:pPr>
              <w:spacing w:after="0"/>
              <w:rPr>
                <w:sz w:val="17"/>
                <w:szCs w:val="17"/>
                <w:color w:val="auto"/>
              </w:rPr>
            </w:pPr>
          </w:p>
        </w:tc>
      </w:tr>
      <w:tr>
        <w:trPr>
          <w:trHeight w:val="239"/>
        </w:trPr>
        <w:tc>
          <w:tcPr>
            <w:tcW w:w="3780" w:type="dxa"/>
            <w:vAlign w:val="bottom"/>
          </w:tcPr>
          <w:p>
            <w:pPr>
              <w:ind w:left="280"/>
              <w:spacing w:after="0"/>
              <w:rPr>
                <w:sz w:val="20"/>
                <w:szCs w:val="20"/>
                <w:color w:val="auto"/>
              </w:rPr>
            </w:pPr>
            <w:r>
              <w:rPr>
                <w:rFonts w:ascii="Arial" w:cs="Arial" w:eastAsia="Arial" w:hAnsi="Arial"/>
                <w:sz w:val="18"/>
                <w:szCs w:val="18"/>
                <w:color w:val="auto"/>
              </w:rPr>
              <w:t>Umwandlung anfallen.</w:t>
            </w:r>
          </w:p>
        </w:tc>
        <w:tc>
          <w:tcPr>
            <w:tcW w:w="560" w:type="dxa"/>
            <w:vAlign w:val="bottom"/>
          </w:tcPr>
          <w:p>
            <w:pPr>
              <w:spacing w:after="0"/>
              <w:rPr>
                <w:sz w:val="20"/>
                <w:szCs w:val="20"/>
                <w:color w:val="auto"/>
              </w:rPr>
            </w:pPr>
          </w:p>
        </w:tc>
      </w:tr>
    </w:tbl>
    <w:p>
      <w:pPr>
        <w:spacing w:after="0" w:line="72" w:lineRule="exact"/>
        <w:rPr>
          <w:sz w:val="20"/>
          <w:szCs w:val="20"/>
          <w:color w:val="auto"/>
        </w:rPr>
      </w:pPr>
    </w:p>
    <w:p>
      <w:pPr>
        <w:ind w:left="280" w:right="640" w:hanging="277"/>
        <w:spacing w:after="0" w:line="233" w:lineRule="auto"/>
        <w:tabs>
          <w:tab w:leader="none" w:pos="280" w:val="left"/>
        </w:tabs>
        <w:numPr>
          <w:ilvl w:val="0"/>
          <w:numId w:val="57"/>
        </w:numPr>
        <w:rPr>
          <w:rFonts w:ascii="Arial" w:cs="Arial" w:eastAsia="Arial" w:hAnsi="Arial"/>
          <w:sz w:val="28"/>
          <w:szCs w:val="28"/>
          <w:color w:val="auto"/>
          <w:vertAlign w:val="superscript"/>
        </w:rPr>
      </w:pPr>
      <w:r>
        <w:rPr>
          <w:rFonts w:ascii="Arial" w:cs="Arial" w:eastAsia="Arial" w:hAnsi="Arial"/>
          <w:sz w:val="17"/>
          <w:szCs w:val="17"/>
          <w:color w:val="auto"/>
        </w:rPr>
        <w:t>Ein Aktionär hat keinen Anspruch auf Umwandlung von in bestimmter Form ausgegebenen Aktien in eine andere Form. Jeder Aktionär kann jedoch jederzeit die Ausstellung einer Bescheinigung über die von ihm gemäss Aktienbuch gehaltenen Namenaktien verlangen.</w:t>
      </w:r>
    </w:p>
    <w:p>
      <w:pPr>
        <w:spacing w:after="0" w:line="74" w:lineRule="exact"/>
        <w:rPr>
          <w:sz w:val="20"/>
          <w:szCs w:val="20"/>
          <w:color w:val="auto"/>
        </w:rPr>
      </w:pPr>
    </w:p>
    <w:p>
      <w:pPr>
        <w:ind w:left="280" w:right="640" w:hanging="277"/>
        <w:spacing w:after="0" w:line="226" w:lineRule="auto"/>
        <w:tabs>
          <w:tab w:leader="none" w:pos="280" w:val="left"/>
        </w:tabs>
        <w:numPr>
          <w:ilvl w:val="0"/>
          <w:numId w:val="58"/>
        </w:numPr>
        <w:rPr>
          <w:rFonts w:ascii="Arial" w:cs="Arial" w:eastAsia="Arial" w:hAnsi="Arial"/>
          <w:sz w:val="29"/>
          <w:szCs w:val="29"/>
          <w:color w:val="auto"/>
          <w:vertAlign w:val="superscript"/>
        </w:rPr>
      </w:pPr>
      <w:r>
        <w:rPr>
          <w:rFonts w:ascii="Arial" w:cs="Arial" w:eastAsia="Arial" w:hAnsi="Arial"/>
          <w:sz w:val="18"/>
          <w:szCs w:val="18"/>
          <w:color w:val="auto"/>
        </w:rPr>
        <w:t xml:space="preserve">Werden Bucheffekten im Auftrag der Gesellschaft oder des Aktionärs von einer Verwahrungsstelle, einem Registrar, Transfer Agenten, einer Trust Gesellschaft, Bank oder einer ähnlichen Gesellschaft verwaltet (die </w:t>
      </w:r>
      <w:r>
        <w:rPr>
          <w:rFonts w:ascii="Arial" w:cs="Arial" w:eastAsia="Arial" w:hAnsi="Arial"/>
          <w:sz w:val="18"/>
          <w:szCs w:val="18"/>
          <w:b w:val="1"/>
          <w:bCs w:val="1"/>
          <w:color w:val="auto"/>
        </w:rPr>
        <w:t>Verwahrungsstelle</w:t>
      </w:r>
      <w:r>
        <w:rPr>
          <w:rFonts w:ascii="Arial" w:cs="Arial" w:eastAsia="Arial" w:hAnsi="Arial"/>
          <w:sz w:val="18"/>
          <w:szCs w:val="18"/>
          <w:color w:val="auto"/>
        </w:rPr>
        <w:t>), so setzt Wirksamkeit gegenüber der Gesellschaft voraus, dass diese Bucheffekten und die damit verbundenen Rechte unter Mitwirkung der Verwahrungsstelle übertragen oder daran Sicherheiten bestellt werden.</w:t>
      </w:r>
    </w:p>
    <w:p>
      <w:pPr>
        <w:spacing w:after="0" w:line="80" w:lineRule="exact"/>
        <w:rPr>
          <w:sz w:val="20"/>
          <w:szCs w:val="20"/>
          <w:color w:val="auto"/>
        </w:rPr>
      </w:pPr>
    </w:p>
    <w:p>
      <w:pPr>
        <w:ind w:left="280" w:right="880" w:hanging="277"/>
        <w:spacing w:after="0" w:line="206" w:lineRule="auto"/>
        <w:tabs>
          <w:tab w:leader="none" w:pos="280" w:val="left"/>
        </w:tabs>
        <w:numPr>
          <w:ilvl w:val="0"/>
          <w:numId w:val="59"/>
        </w:numPr>
        <w:rPr>
          <w:rFonts w:ascii="Arial" w:cs="Arial" w:eastAsia="Arial" w:hAnsi="Arial"/>
          <w:sz w:val="29"/>
          <w:szCs w:val="29"/>
          <w:color w:val="auto"/>
          <w:vertAlign w:val="superscript"/>
        </w:rPr>
      </w:pPr>
      <w:r>
        <w:rPr>
          <w:rFonts w:ascii="Arial" w:cs="Arial" w:eastAsia="Arial" w:hAnsi="Arial"/>
          <w:sz w:val="18"/>
          <w:szCs w:val="18"/>
          <w:color w:val="auto"/>
        </w:rPr>
        <w:t>Für den Fall, dass die Gesellschaft beschliesst, Aktienzertifikate zu drucken und auszugeben, müssen die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-669925</wp:posOffset>
            </wp:positionH>
            <wp:positionV relativeFrom="paragraph">
              <wp:posOffset>367665</wp:posOffset>
            </wp:positionV>
            <wp:extent cx="629221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273" w:right="320"/>
        <w:spacing w:after="0" w:line="247" w:lineRule="auto"/>
        <w:rPr>
          <w:sz w:val="20"/>
          <w:szCs w:val="20"/>
          <w:color w:val="auto"/>
        </w:rPr>
      </w:pPr>
      <w:r>
        <w:rPr>
          <w:rFonts w:ascii="Arial" w:cs="Arial" w:eastAsia="Arial" w:hAnsi="Arial"/>
          <w:sz w:val="18"/>
          <w:szCs w:val="18"/>
          <w:color w:val="auto"/>
        </w:rPr>
        <w:t>Beneficial owners of Shares who hold Shares through a nominee exercise the shareholders' rights through the intermediation of such nominee.</w:t>
      </w:r>
    </w:p>
    <w:p>
      <w:pPr>
        <w:spacing w:after="0" w:line="66" w:lineRule="exact"/>
        <w:rPr>
          <w:sz w:val="20"/>
          <w:szCs w:val="20"/>
          <w:color w:val="auto"/>
        </w:rPr>
      </w:pPr>
    </w:p>
    <w:p>
      <w:pPr>
        <w:ind w:left="273" w:hanging="273"/>
        <w:spacing w:after="0" w:line="224" w:lineRule="auto"/>
        <w:tabs>
          <w:tab w:leader="none" w:pos="273" w:val="left"/>
        </w:tabs>
        <w:numPr>
          <w:ilvl w:val="0"/>
          <w:numId w:val="60"/>
        </w:numPr>
        <w:rPr>
          <w:rFonts w:ascii="Arial" w:cs="Arial" w:eastAsia="Arial" w:hAnsi="Arial"/>
          <w:sz w:val="29"/>
          <w:szCs w:val="29"/>
          <w:color w:val="auto"/>
          <w:vertAlign w:val="superscript"/>
        </w:rPr>
      </w:pPr>
      <w:r>
        <w:rPr>
          <w:rFonts w:ascii="Arial" w:cs="Arial" w:eastAsia="Arial" w:hAnsi="Arial"/>
          <w:sz w:val="18"/>
          <w:szCs w:val="18"/>
          <w:color w:val="auto"/>
        </w:rPr>
        <w:t>After hearing the registered shareholder concerned, the Board of Directors may cancel the registration of such shareholder as a shareholder with voting rights in the share register with retroactive effect as of the date of registration, if such registration was made based on false or misleading information. The relevant shareholder shall be informed promptly of the cancellation.</w:t>
      </w:r>
    </w:p>
    <w:p>
      <w:pPr>
        <w:spacing w:after="0" w:line="73" w:lineRule="exact"/>
        <w:rPr>
          <w:rFonts w:ascii="Arial" w:cs="Arial" w:eastAsia="Arial" w:hAnsi="Arial"/>
          <w:sz w:val="29"/>
          <w:szCs w:val="29"/>
          <w:color w:val="auto"/>
          <w:vertAlign w:val="superscript"/>
        </w:rPr>
      </w:pPr>
    </w:p>
    <w:p>
      <w:pPr>
        <w:ind w:left="273"/>
        <w:spacing w:after="0"/>
        <w:rPr>
          <w:rFonts w:ascii="Arial" w:cs="Arial" w:eastAsia="Arial" w:hAnsi="Arial"/>
          <w:sz w:val="29"/>
          <w:szCs w:val="29"/>
          <w:color w:val="auto"/>
          <w:vertAlign w:val="superscript"/>
        </w:rPr>
      </w:pPr>
      <w:r>
        <w:rPr>
          <w:rFonts w:ascii="Arial" w:cs="Arial" w:eastAsia="Arial" w:hAnsi="Arial"/>
          <w:sz w:val="18"/>
          <w:szCs w:val="18"/>
          <w:b w:val="1"/>
          <w:bCs w:val="1"/>
          <w:color w:val="auto"/>
        </w:rPr>
        <w:t>Article 8</w:t>
      </w:r>
    </w:p>
    <w:p>
      <w:pPr>
        <w:spacing w:after="0" w:line="225" w:lineRule="exact"/>
        <w:rPr>
          <w:sz w:val="20"/>
          <w:szCs w:val="20"/>
          <w:color w:val="auto"/>
        </w:rPr>
      </w:pPr>
    </w:p>
    <w:p>
      <w:pPr>
        <w:ind w:left="273" w:right="60" w:hanging="273"/>
        <w:spacing w:after="0" w:line="224" w:lineRule="auto"/>
        <w:tabs>
          <w:tab w:leader="none" w:pos="273" w:val="left"/>
        </w:tabs>
        <w:numPr>
          <w:ilvl w:val="0"/>
          <w:numId w:val="61"/>
        </w:numPr>
        <w:rPr>
          <w:rFonts w:ascii="Arial" w:cs="Arial" w:eastAsia="Arial" w:hAnsi="Arial"/>
          <w:sz w:val="29"/>
          <w:szCs w:val="29"/>
          <w:color w:val="auto"/>
          <w:vertAlign w:val="superscript"/>
        </w:rPr>
      </w:pPr>
      <w:r>
        <w:rPr>
          <w:rFonts w:ascii="Arial" w:cs="Arial" w:eastAsia="Arial" w:hAnsi="Arial"/>
          <w:sz w:val="18"/>
          <w:szCs w:val="18"/>
          <w:color w:val="auto"/>
        </w:rPr>
        <w:t>The Company may issue Shares in the form of individual certificates, global certificates or uncertificated securities. Subject to applicable law, the Company may convert the Shares from one form into another form at any time and without the approval of the shareholders. The Company shall bear all cost associated with any such conversion.</w:t>
      </w:r>
    </w:p>
    <w:p>
      <w:pPr>
        <w:spacing w:after="0" w:line="276" w:lineRule="exact"/>
        <w:rPr>
          <w:sz w:val="20"/>
          <w:szCs w:val="20"/>
          <w:color w:val="auto"/>
        </w:rPr>
      </w:pPr>
    </w:p>
    <w:p>
      <w:pPr>
        <w:ind w:left="273" w:right="20" w:hanging="273"/>
        <w:spacing w:after="0" w:line="219" w:lineRule="auto"/>
        <w:tabs>
          <w:tab w:leader="none" w:pos="273" w:val="left"/>
        </w:tabs>
        <w:numPr>
          <w:ilvl w:val="0"/>
          <w:numId w:val="62"/>
        </w:numPr>
        <w:rPr>
          <w:rFonts w:ascii="Arial" w:cs="Arial" w:eastAsia="Arial" w:hAnsi="Arial"/>
          <w:sz w:val="29"/>
          <w:szCs w:val="29"/>
          <w:color w:val="auto"/>
          <w:vertAlign w:val="superscript"/>
        </w:rPr>
      </w:pPr>
      <w:r>
        <w:rPr>
          <w:rFonts w:ascii="Arial" w:cs="Arial" w:eastAsia="Arial" w:hAnsi="Arial"/>
          <w:sz w:val="18"/>
          <w:szCs w:val="18"/>
          <w:color w:val="auto"/>
        </w:rPr>
        <w:t>A shareholder has no right to request a conversion of the Shares from one form into another form. Each shareholder may, however, at any time request a written attestation of the number of Shares held by it as reflected in the share register.</w:t>
      </w:r>
    </w:p>
    <w:p>
      <w:pPr>
        <w:spacing w:after="0" w:line="277" w:lineRule="exact"/>
        <w:rPr>
          <w:sz w:val="20"/>
          <w:szCs w:val="20"/>
          <w:color w:val="auto"/>
        </w:rPr>
      </w:pPr>
    </w:p>
    <w:p>
      <w:pPr>
        <w:ind w:left="273" w:right="20" w:hanging="273"/>
        <w:spacing w:after="0" w:line="238" w:lineRule="auto"/>
        <w:tabs>
          <w:tab w:leader="none" w:pos="273" w:val="left"/>
        </w:tabs>
        <w:numPr>
          <w:ilvl w:val="0"/>
          <w:numId w:val="63"/>
        </w:numPr>
        <w:rPr>
          <w:rFonts w:ascii="Arial" w:cs="Arial" w:eastAsia="Arial" w:hAnsi="Arial"/>
          <w:sz w:val="28"/>
          <w:szCs w:val="28"/>
          <w:color w:val="auto"/>
          <w:vertAlign w:val="superscript"/>
        </w:rPr>
      </w:pPr>
      <w:r>
        <w:rPr>
          <w:rFonts w:ascii="Arial" w:cs="Arial" w:eastAsia="Arial" w:hAnsi="Arial"/>
          <w:sz w:val="17"/>
          <w:szCs w:val="17"/>
          <w:color w:val="auto"/>
        </w:rPr>
        <w:t xml:space="preserve">If intermediated securities are administered on behalf of the Company or a shareholder by an intermediary, registrar, transfer agent, trust company, bank or similar entity (the </w:t>
      </w:r>
      <w:r>
        <w:rPr>
          <w:rFonts w:ascii="Arial" w:cs="Arial" w:eastAsia="Arial" w:hAnsi="Arial"/>
          <w:sz w:val="17"/>
          <w:szCs w:val="17"/>
          <w:b w:val="1"/>
          <w:bCs w:val="1"/>
          <w:color w:val="auto"/>
        </w:rPr>
        <w:t>Intermediary</w:t>
      </w:r>
      <w:r>
        <w:rPr>
          <w:rFonts w:ascii="Arial" w:cs="Arial" w:eastAsia="Arial" w:hAnsi="Arial"/>
          <w:sz w:val="17"/>
          <w:szCs w:val="17"/>
          <w:color w:val="auto"/>
        </w:rPr>
        <w:t>), any transfer or grant of a security interest in such intermediated securities and the appurtenant rights associated therewith, in order for such transfer or grant of a security interest to be valid against the Company, requires the cooperation of the Intermediary.</w:t>
      </w:r>
    </w:p>
    <w:p>
      <w:pPr>
        <w:spacing w:after="0" w:line="280" w:lineRule="exact"/>
        <w:rPr>
          <w:sz w:val="20"/>
          <w:szCs w:val="20"/>
          <w:color w:val="auto"/>
        </w:rPr>
      </w:pPr>
    </w:p>
    <w:p>
      <w:pPr>
        <w:ind w:left="273" w:right="40" w:hanging="273"/>
        <w:spacing w:after="0" w:line="206" w:lineRule="auto"/>
        <w:tabs>
          <w:tab w:leader="none" w:pos="273" w:val="left"/>
        </w:tabs>
        <w:numPr>
          <w:ilvl w:val="0"/>
          <w:numId w:val="64"/>
        </w:numPr>
        <w:rPr>
          <w:rFonts w:ascii="Arial" w:cs="Arial" w:eastAsia="Arial" w:hAnsi="Arial"/>
          <w:sz w:val="29"/>
          <w:szCs w:val="29"/>
          <w:color w:val="auto"/>
          <w:vertAlign w:val="superscript"/>
        </w:rPr>
      </w:pPr>
      <w:r>
        <w:rPr>
          <w:rFonts w:ascii="Arial" w:cs="Arial" w:eastAsia="Arial" w:hAnsi="Arial"/>
          <w:sz w:val="18"/>
          <w:szCs w:val="18"/>
          <w:color w:val="auto"/>
        </w:rPr>
        <w:t>If the Company decides to print and deliver share certificates, the share certificates shall bear the signatures</w:t>
      </w:r>
    </w:p>
    <w:p>
      <w:pPr>
        <w:sectPr>
          <w:pgSz w:w="11900" w:h="16838" w:orient="portrait"/>
          <w:cols w:equalWidth="0" w:num="3">
            <w:col w:w="580" w:space="340"/>
            <w:col w:w="4340" w:space="347"/>
            <w:col w:w="3733"/>
          </w:cols>
          <w:pgMar w:left="1220" w:top="670" w:right="1339" w:bottom="1440" w:gutter="0" w:footer="0" w:header="0"/>
        </w:sectPr>
      </w:pPr>
    </w:p>
    <w:bookmarkStart w:id="17" w:name="page18"/>
    <w:bookmarkEnd w:id="17"/>
    <w:p>
      <w:pPr>
        <w:jc w:val="center"/>
        <w:ind w:right="-319"/>
        <w:spacing w:after="0"/>
        <w:rPr>
          <w:sz w:val="20"/>
          <w:szCs w:val="20"/>
          <w:color w:val="auto"/>
        </w:rPr>
      </w:pPr>
      <w:r>
        <w:rPr>
          <w:rFonts w:ascii="Arial" w:cs="Arial" w:eastAsia="Arial" w:hAnsi="Arial"/>
          <w:sz w:val="13"/>
          <w:szCs w:val="13"/>
          <w:color w:val="auto"/>
        </w:rPr>
        <w:t>- 11 -</w:t>
      </w:r>
    </w:p>
    <w:p>
      <w:pPr>
        <w:sectPr>
          <w:pgSz w:w="11900" w:h="16838" w:orient="portrait"/>
          <w:cols w:equalWidth="0" w:num="1">
            <w:col w:w="9320"/>
          </w:cols>
          <w:pgMar w:left="1220" w:top="670"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460" w:right="520"/>
        <w:spacing w:after="0" w:line="244" w:lineRule="auto"/>
        <w:rPr>
          <w:sz w:val="20"/>
          <w:szCs w:val="20"/>
          <w:color w:val="auto"/>
        </w:rPr>
      </w:pPr>
      <w:r>
        <w:rPr>
          <w:rFonts w:ascii="Arial" w:cs="Arial" w:eastAsia="Arial" w:hAnsi="Arial"/>
          <w:sz w:val="18"/>
          <w:szCs w:val="18"/>
          <w:color w:val="auto"/>
        </w:rPr>
        <w:t>Aktienzertifikate die Unterschrift von zwei zeichnungsberechtigten Personen tragen. Mindestens eine dieser Personen muss ein Mitglied des Verwaltungsrates sein. Faksimile-Unterschriften sind erlaubt.</w:t>
      </w:r>
    </w:p>
    <w:p>
      <w:pPr>
        <w:spacing w:after="0" w:line="68"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Artikel 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0" w:lineRule="exact"/>
        <w:rPr>
          <w:sz w:val="20"/>
          <w:szCs w:val="20"/>
          <w:color w:val="auto"/>
        </w:rPr>
      </w:pPr>
    </w:p>
    <w:p>
      <w:pPr>
        <w:jc w:val="both"/>
        <w:ind w:right="120"/>
        <w:spacing w:after="0" w:line="255" w:lineRule="auto"/>
        <w:rPr>
          <w:sz w:val="20"/>
          <w:szCs w:val="20"/>
          <w:color w:val="auto"/>
        </w:rPr>
      </w:pPr>
      <w:r>
        <w:rPr>
          <w:rFonts w:ascii="Arial" w:cs="Arial" w:eastAsia="Arial" w:hAnsi="Arial"/>
          <w:sz w:val="17"/>
          <w:szCs w:val="17"/>
          <w:color w:val="auto"/>
        </w:rPr>
        <w:t>of two duly authorized signatories of the Company, at least one of which shall be a member of the Board of Directors.</w:t>
      </w:r>
    </w:p>
    <w:p>
      <w:pPr>
        <w:spacing w:after="0" w:line="2" w:lineRule="exact"/>
        <w:rPr>
          <w:sz w:val="20"/>
          <w:szCs w:val="20"/>
          <w:color w:val="auto"/>
        </w:rPr>
      </w:pPr>
    </w:p>
    <w:p>
      <w:pPr>
        <w:ind w:right="520"/>
        <w:spacing w:after="0" w:line="250" w:lineRule="auto"/>
        <w:rPr>
          <w:sz w:val="20"/>
          <w:szCs w:val="20"/>
          <w:color w:val="auto"/>
        </w:rPr>
      </w:pPr>
      <w:r>
        <w:rPr>
          <w:rFonts w:ascii="Arial" w:cs="Arial" w:eastAsia="Arial" w:hAnsi="Arial"/>
          <w:sz w:val="18"/>
          <w:szCs w:val="18"/>
          <w:color w:val="auto"/>
        </w:rPr>
        <w:t>These signatures may be facsimile signatures.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9</w:t>
      </w:r>
    </w:p>
    <w:p>
      <w:pPr>
        <w:spacing w:after="0" w:line="199" w:lineRule="exact"/>
        <w:rPr>
          <w:sz w:val="20"/>
          <w:szCs w:val="20"/>
          <w:color w:val="auto"/>
        </w:rPr>
      </w:pPr>
    </w:p>
    <w:p>
      <w:pPr>
        <w:sectPr>
          <w:pgSz w:w="11900" w:h="16838" w:orient="portrait"/>
          <w:cols w:equalWidth="0" w:num="2">
            <w:col w:w="5320" w:space="720"/>
            <w:col w:w="3280"/>
          </w:cols>
          <w:pgMar w:left="1220" w:top="670" w:right="1359" w:bottom="1440" w:gutter="0" w:footer="0" w:header="0"/>
          <w:type w:val="continuous"/>
        </w:sectPr>
      </w:pPr>
    </w:p>
    <w:p>
      <w:pPr>
        <w:spacing w:after="0" w:line="26" w:lineRule="exact"/>
        <w:rPr>
          <w:sz w:val="20"/>
          <w:szCs w:val="20"/>
          <w:color w:val="auto"/>
        </w:rPr>
      </w:pPr>
    </w:p>
    <w:p>
      <w:pPr>
        <w:jc w:val="center"/>
        <w:ind w:right="300"/>
        <w:spacing w:after="0" w:line="200" w:lineRule="auto"/>
        <w:rPr>
          <w:sz w:val="20"/>
          <w:szCs w:val="20"/>
          <w:color w:val="auto"/>
        </w:rPr>
      </w:pPr>
      <w:r>
        <w:rPr>
          <w:rFonts w:ascii="Arial" w:cs="Arial" w:eastAsia="Arial" w:hAnsi="Arial"/>
          <w:sz w:val="28"/>
          <w:szCs w:val="28"/>
          <w:color w:val="auto"/>
          <w:vertAlign w:val="superscript"/>
        </w:rPr>
        <w:t>Rechtsausübung  1</w:t>
      </w:r>
      <w:r>
        <w:rPr>
          <w:rFonts w:ascii="Arial" w:cs="Arial" w:eastAsia="Arial" w:hAnsi="Arial"/>
          <w:sz w:val="18"/>
          <w:szCs w:val="18"/>
          <w:color w:val="auto"/>
        </w:rPr>
        <w:t xml:space="preserve">  Die Gesellschaft anerkennt nur einen Vertreter pro Aktie.</w:t>
      </w:r>
    </w:p>
    <w:p>
      <w:pPr>
        <w:spacing w:after="0" w:line="72" w:lineRule="exact"/>
        <w:rPr>
          <w:sz w:val="20"/>
          <w:szCs w:val="20"/>
          <w:color w:val="auto"/>
        </w:rPr>
      </w:pPr>
    </w:p>
    <w:p>
      <w:pPr>
        <w:ind w:left="1460" w:hanging="254"/>
        <w:spacing w:after="0" w:line="221" w:lineRule="auto"/>
        <w:tabs>
          <w:tab w:leader="none" w:pos="1460" w:val="left"/>
        </w:tabs>
        <w:numPr>
          <w:ilvl w:val="0"/>
          <w:numId w:val="65"/>
        </w:numPr>
        <w:rPr>
          <w:rFonts w:ascii="Arial" w:cs="Arial" w:eastAsia="Arial" w:hAnsi="Arial"/>
          <w:sz w:val="29"/>
          <w:szCs w:val="29"/>
          <w:color w:val="auto"/>
          <w:vertAlign w:val="superscript"/>
        </w:rPr>
      </w:pPr>
      <w:r>
        <w:rPr>
          <w:rFonts w:ascii="Arial" w:cs="Arial" w:eastAsia="Arial" w:hAnsi="Arial"/>
          <w:sz w:val="18"/>
          <w:szCs w:val="18"/>
          <w:color w:val="auto"/>
        </w:rPr>
        <w:t>Stimmrechte und die damit verbundenen Rechte können der Gesellschaft gegenüber von einem Aktionär, Nutzniesser der Aktien oder Nominee jeweils nur im Umfang ausgeübt werden, wie dieser mit Stimmrecht im Aktienbuch eingetragen 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890905</wp:posOffset>
            </wp:positionH>
            <wp:positionV relativeFrom="paragraph">
              <wp:posOffset>299720</wp:posOffset>
            </wp:positionV>
            <wp:extent cx="220281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2028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000" w:type="dxa"/>
            <w:vAlign w:val="bottom"/>
          </w:tcPr>
          <w:p>
            <w:pPr>
              <w:spacing w:after="0"/>
              <w:rPr>
                <w:sz w:val="20"/>
                <w:szCs w:val="20"/>
                <w:color w:val="auto"/>
              </w:rPr>
            </w:pPr>
            <w:r>
              <w:rPr>
                <w:rFonts w:ascii="Arial" w:cs="Arial" w:eastAsia="Arial" w:hAnsi="Arial"/>
                <w:sz w:val="14"/>
                <w:szCs w:val="14"/>
                <w:color w:val="auto"/>
              </w:rPr>
              <w:t>Exercise1</w:t>
            </w:r>
          </w:p>
        </w:tc>
        <w:tc>
          <w:tcPr>
            <w:tcW w:w="3380" w:type="dxa"/>
            <w:vAlign w:val="bottom"/>
          </w:tcPr>
          <w:p>
            <w:pPr>
              <w:ind w:left="100"/>
              <w:spacing w:after="0"/>
              <w:rPr>
                <w:sz w:val="20"/>
                <w:szCs w:val="20"/>
                <w:color w:val="auto"/>
              </w:rPr>
            </w:pPr>
            <w:r>
              <w:rPr>
                <w:rFonts w:ascii="Arial" w:cs="Arial" w:eastAsia="Arial" w:hAnsi="Arial"/>
                <w:sz w:val="18"/>
                <w:szCs w:val="18"/>
                <w:color w:val="auto"/>
              </w:rPr>
              <w:t>The Company shall only accept one</w:t>
            </w:r>
          </w:p>
        </w:tc>
      </w:tr>
      <w:tr>
        <w:trPr>
          <w:trHeight w:val="261"/>
        </w:trPr>
        <w:tc>
          <w:tcPr>
            <w:tcW w:w="1000" w:type="dxa"/>
            <w:vAlign w:val="bottom"/>
          </w:tcPr>
          <w:p>
            <w:pPr>
              <w:spacing w:after="0"/>
              <w:rPr>
                <w:sz w:val="20"/>
                <w:szCs w:val="20"/>
                <w:color w:val="auto"/>
              </w:rPr>
            </w:pPr>
            <w:r>
              <w:rPr>
                <w:rFonts w:ascii="Arial" w:cs="Arial" w:eastAsia="Arial" w:hAnsi="Arial"/>
                <w:sz w:val="14"/>
                <w:szCs w:val="14"/>
                <w:color w:val="auto"/>
              </w:rPr>
              <w:t>of Rights</w:t>
            </w:r>
          </w:p>
        </w:tc>
        <w:tc>
          <w:tcPr>
            <w:tcW w:w="3380" w:type="dxa"/>
            <w:vAlign w:val="bottom"/>
          </w:tcPr>
          <w:p>
            <w:pPr>
              <w:ind w:left="100"/>
              <w:spacing w:after="0"/>
              <w:rPr>
                <w:sz w:val="20"/>
                <w:szCs w:val="20"/>
                <w:color w:val="auto"/>
              </w:rPr>
            </w:pPr>
            <w:r>
              <w:rPr>
                <w:rFonts w:ascii="Arial" w:cs="Arial" w:eastAsia="Arial" w:hAnsi="Arial"/>
                <w:sz w:val="18"/>
                <w:szCs w:val="18"/>
                <w:color w:val="auto"/>
              </w:rPr>
              <w:t>representative per Share.</w:t>
            </w:r>
          </w:p>
        </w:tc>
      </w:tr>
      <w:tr>
        <w:trPr>
          <w:trHeight w:val="274"/>
        </w:trPr>
        <w:tc>
          <w:tcPr>
            <w:tcW w:w="1000" w:type="dxa"/>
            <w:vAlign w:val="bottom"/>
          </w:tcPr>
          <w:p>
            <w:pPr>
              <w:jc w:val="right"/>
              <w:ind w:right="42"/>
              <w:spacing w:after="0"/>
              <w:rPr>
                <w:sz w:val="20"/>
                <w:szCs w:val="20"/>
                <w:color w:val="auto"/>
              </w:rPr>
            </w:pPr>
            <w:r>
              <w:rPr>
                <w:rFonts w:ascii="Arial" w:cs="Arial" w:eastAsia="Arial" w:hAnsi="Arial"/>
                <w:sz w:val="14"/>
                <w:szCs w:val="14"/>
                <w:color w:val="auto"/>
              </w:rPr>
              <w:t>2</w:t>
            </w:r>
          </w:p>
        </w:tc>
        <w:tc>
          <w:tcPr>
            <w:tcW w:w="3380" w:type="dxa"/>
            <w:vAlign w:val="bottom"/>
          </w:tcPr>
          <w:p>
            <w:pPr>
              <w:ind w:left="100"/>
              <w:spacing w:after="0"/>
              <w:rPr>
                <w:sz w:val="20"/>
                <w:szCs w:val="20"/>
                <w:color w:val="auto"/>
              </w:rPr>
            </w:pPr>
            <w:r>
              <w:rPr>
                <w:rFonts w:ascii="Arial" w:cs="Arial" w:eastAsia="Arial" w:hAnsi="Arial"/>
                <w:sz w:val="18"/>
                <w:szCs w:val="18"/>
                <w:color w:val="auto"/>
              </w:rPr>
              <w:t>Voting rights and appurtenant rights</w:t>
            </w:r>
          </w:p>
        </w:tc>
      </w:tr>
      <w:tr>
        <w:trPr>
          <w:trHeight w:val="203"/>
        </w:trPr>
        <w:tc>
          <w:tcPr>
            <w:tcW w:w="1000" w:type="dxa"/>
            <w:vAlign w:val="bottom"/>
          </w:tcPr>
          <w:p>
            <w:pPr>
              <w:spacing w:after="0"/>
              <w:rPr>
                <w:sz w:val="17"/>
                <w:szCs w:val="17"/>
                <w:color w:val="auto"/>
              </w:rPr>
            </w:pPr>
          </w:p>
        </w:tc>
        <w:tc>
          <w:tcPr>
            <w:tcW w:w="3380" w:type="dxa"/>
            <w:vAlign w:val="bottom"/>
          </w:tcPr>
          <w:p>
            <w:pPr>
              <w:ind w:left="100"/>
              <w:spacing w:after="0" w:line="202" w:lineRule="exact"/>
              <w:rPr>
                <w:sz w:val="20"/>
                <w:szCs w:val="20"/>
                <w:color w:val="auto"/>
              </w:rPr>
            </w:pPr>
            <w:r>
              <w:rPr>
                <w:rFonts w:ascii="Arial" w:cs="Arial" w:eastAsia="Arial" w:hAnsi="Arial"/>
                <w:sz w:val="18"/>
                <w:szCs w:val="18"/>
                <w:color w:val="auto"/>
                <w:w w:val="99"/>
              </w:rPr>
              <w:t>associated therewith may be exercised in</w:t>
            </w:r>
          </w:p>
        </w:tc>
      </w:tr>
      <w:tr>
        <w:trPr>
          <w:trHeight w:val="203"/>
        </w:trPr>
        <w:tc>
          <w:tcPr>
            <w:tcW w:w="1000" w:type="dxa"/>
            <w:vAlign w:val="bottom"/>
          </w:tcPr>
          <w:p>
            <w:pPr>
              <w:spacing w:after="0"/>
              <w:rPr>
                <w:sz w:val="17"/>
                <w:szCs w:val="17"/>
                <w:color w:val="auto"/>
              </w:rPr>
            </w:pPr>
          </w:p>
        </w:tc>
        <w:tc>
          <w:tcPr>
            <w:tcW w:w="3380" w:type="dxa"/>
            <w:vAlign w:val="bottom"/>
          </w:tcPr>
          <w:p>
            <w:pPr>
              <w:ind w:left="100"/>
              <w:spacing w:after="0" w:line="202" w:lineRule="exact"/>
              <w:rPr>
                <w:sz w:val="20"/>
                <w:szCs w:val="20"/>
                <w:color w:val="auto"/>
              </w:rPr>
            </w:pPr>
            <w:r>
              <w:rPr>
                <w:rFonts w:ascii="Arial" w:cs="Arial" w:eastAsia="Arial" w:hAnsi="Arial"/>
                <w:sz w:val="18"/>
                <w:szCs w:val="18"/>
                <w:color w:val="auto"/>
              </w:rPr>
              <w:t>relation to the Company by a</w:t>
            </w:r>
          </w:p>
        </w:tc>
      </w:tr>
      <w:tr>
        <w:trPr>
          <w:trHeight w:val="203"/>
        </w:trPr>
        <w:tc>
          <w:tcPr>
            <w:tcW w:w="1000" w:type="dxa"/>
            <w:vAlign w:val="bottom"/>
          </w:tcPr>
          <w:p>
            <w:pPr>
              <w:spacing w:after="0"/>
              <w:rPr>
                <w:sz w:val="17"/>
                <w:szCs w:val="17"/>
                <w:color w:val="auto"/>
              </w:rPr>
            </w:pPr>
          </w:p>
        </w:tc>
        <w:tc>
          <w:tcPr>
            <w:tcW w:w="3380" w:type="dxa"/>
            <w:vAlign w:val="bottom"/>
          </w:tcPr>
          <w:p>
            <w:pPr>
              <w:ind w:left="100"/>
              <w:spacing w:after="0" w:line="202" w:lineRule="exact"/>
              <w:rPr>
                <w:sz w:val="20"/>
                <w:szCs w:val="20"/>
                <w:color w:val="auto"/>
              </w:rPr>
            </w:pPr>
            <w:r>
              <w:rPr>
                <w:rFonts w:ascii="Arial" w:cs="Arial" w:eastAsia="Arial" w:hAnsi="Arial"/>
                <w:sz w:val="18"/>
                <w:szCs w:val="18"/>
                <w:color w:val="auto"/>
              </w:rPr>
              <w:t>shareholder, usufructuary of Shares or</w:t>
            </w:r>
          </w:p>
        </w:tc>
      </w:tr>
      <w:tr>
        <w:trPr>
          <w:trHeight w:val="203"/>
        </w:trPr>
        <w:tc>
          <w:tcPr>
            <w:tcW w:w="1000" w:type="dxa"/>
            <w:vAlign w:val="bottom"/>
          </w:tcPr>
          <w:p>
            <w:pPr>
              <w:spacing w:after="0"/>
              <w:rPr>
                <w:sz w:val="17"/>
                <w:szCs w:val="17"/>
                <w:color w:val="auto"/>
              </w:rPr>
            </w:pPr>
          </w:p>
        </w:tc>
        <w:tc>
          <w:tcPr>
            <w:tcW w:w="3380" w:type="dxa"/>
            <w:vAlign w:val="bottom"/>
          </w:tcPr>
          <w:p>
            <w:pPr>
              <w:ind w:left="100"/>
              <w:spacing w:after="0" w:line="202" w:lineRule="exact"/>
              <w:rPr>
                <w:sz w:val="20"/>
                <w:szCs w:val="20"/>
                <w:color w:val="auto"/>
              </w:rPr>
            </w:pPr>
            <w:r>
              <w:rPr>
                <w:rFonts w:ascii="Arial" w:cs="Arial" w:eastAsia="Arial" w:hAnsi="Arial"/>
                <w:sz w:val="18"/>
                <w:szCs w:val="18"/>
                <w:color w:val="auto"/>
              </w:rPr>
              <w:t>nominee only to the extent that such</w:t>
            </w:r>
          </w:p>
        </w:tc>
      </w:tr>
      <w:tr>
        <w:trPr>
          <w:trHeight w:val="203"/>
        </w:trPr>
        <w:tc>
          <w:tcPr>
            <w:tcW w:w="1000" w:type="dxa"/>
            <w:vAlign w:val="bottom"/>
          </w:tcPr>
          <w:p>
            <w:pPr>
              <w:spacing w:after="0"/>
              <w:rPr>
                <w:sz w:val="17"/>
                <w:szCs w:val="17"/>
                <w:color w:val="auto"/>
              </w:rPr>
            </w:pPr>
          </w:p>
        </w:tc>
        <w:tc>
          <w:tcPr>
            <w:tcW w:w="3380" w:type="dxa"/>
            <w:vAlign w:val="bottom"/>
          </w:tcPr>
          <w:p>
            <w:pPr>
              <w:ind w:left="100"/>
              <w:spacing w:after="0" w:line="202" w:lineRule="exact"/>
              <w:rPr>
                <w:sz w:val="20"/>
                <w:szCs w:val="20"/>
                <w:color w:val="auto"/>
              </w:rPr>
            </w:pPr>
            <w:r>
              <w:rPr>
                <w:rFonts w:ascii="Arial" w:cs="Arial" w:eastAsia="Arial" w:hAnsi="Arial"/>
                <w:sz w:val="18"/>
                <w:szCs w:val="18"/>
                <w:color w:val="auto"/>
              </w:rPr>
              <w:t>person is recorded in the share register</w:t>
            </w:r>
          </w:p>
        </w:tc>
      </w:tr>
      <w:tr>
        <w:trPr>
          <w:trHeight w:val="239"/>
        </w:trPr>
        <w:tc>
          <w:tcPr>
            <w:tcW w:w="1000" w:type="dxa"/>
            <w:vAlign w:val="bottom"/>
          </w:tcPr>
          <w:p>
            <w:pPr>
              <w:spacing w:after="0"/>
              <w:rPr>
                <w:sz w:val="20"/>
                <w:szCs w:val="20"/>
                <w:color w:val="auto"/>
              </w:rPr>
            </w:pPr>
          </w:p>
        </w:tc>
        <w:tc>
          <w:tcPr>
            <w:tcW w:w="3380" w:type="dxa"/>
            <w:vAlign w:val="bottom"/>
          </w:tcPr>
          <w:p>
            <w:pPr>
              <w:ind w:left="100"/>
              <w:spacing w:after="0"/>
              <w:rPr>
                <w:sz w:val="20"/>
                <w:szCs w:val="20"/>
                <w:color w:val="auto"/>
              </w:rPr>
            </w:pPr>
            <w:r>
              <w:rPr>
                <w:rFonts w:ascii="Arial" w:cs="Arial" w:eastAsia="Arial" w:hAnsi="Arial"/>
                <w:sz w:val="18"/>
                <w:szCs w:val="18"/>
                <w:color w:val="auto"/>
                <w:w w:val="99"/>
              </w:rPr>
              <w:t>with the right to exercise his voting rights.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659765</wp:posOffset>
            </wp:positionH>
            <wp:positionV relativeFrom="paragraph">
              <wp:posOffset>297180</wp:posOffset>
            </wp:positionV>
            <wp:extent cx="217741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17741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720" w:space="220"/>
            <w:col w:w="4380"/>
          </w:cols>
          <w:pgMar w:left="1220" w:top="670" w:right="1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4"/>
          <w:szCs w:val="14"/>
          <w:color w:val="auto"/>
        </w:rPr>
        <w:t>Zuständigkeit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ind w:right="80"/>
        <w:spacing w:after="0" w:line="263" w:lineRule="auto"/>
        <w:rPr>
          <w:sz w:val="20"/>
          <w:szCs w:val="20"/>
          <w:color w:val="auto"/>
        </w:rPr>
      </w:pPr>
      <w:r>
        <w:rPr>
          <w:rFonts w:ascii="Arial" w:cs="Arial" w:eastAsia="Arial" w:hAnsi="Arial"/>
          <w:sz w:val="14"/>
          <w:szCs w:val="14"/>
          <w:color w:val="auto"/>
        </w:rPr>
        <w:t>Ordentliche Generalver-sammlung</w:t>
      </w:r>
    </w:p>
    <w:p>
      <w:pPr>
        <w:spacing w:after="0" w:line="20" w:lineRule="exact"/>
        <w:rPr>
          <w:sz w:val="20"/>
          <w:szCs w:val="20"/>
          <w:color w:val="auto"/>
        </w:rPr>
      </w:pPr>
      <w:r>
        <w:rPr>
          <w:sz w:val="20"/>
          <w:szCs w:val="20"/>
          <w:color w:val="auto"/>
        </w:rPr>
        <w:br w:type="column"/>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Abschnitt 3:</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Gesellschaftsorgane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31750</wp:posOffset>
            </wp:positionV>
            <wp:extent cx="220281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Generalversammlung</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3380" w:type="dxa"/>
            <w:vAlign w:val="bottom"/>
          </w:tcPr>
          <w:p>
            <w:pPr>
              <w:spacing w:after="0"/>
              <w:rPr>
                <w:sz w:val="20"/>
                <w:szCs w:val="20"/>
                <w:color w:val="auto"/>
              </w:rPr>
            </w:pPr>
            <w:r>
              <w:rPr>
                <w:rFonts w:ascii="Arial" w:cs="Arial" w:eastAsia="Arial" w:hAnsi="Arial"/>
                <w:sz w:val="18"/>
                <w:szCs w:val="18"/>
                <w:b w:val="1"/>
                <w:bCs w:val="1"/>
                <w:color w:val="auto"/>
              </w:rPr>
              <w:t>Artikel 10</w:t>
            </w: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8"/>
        </w:trPr>
        <w:tc>
          <w:tcPr>
            <w:tcW w:w="3380" w:type="dxa"/>
            <w:vAlign w:val="bottom"/>
          </w:tcPr>
          <w:p>
            <w:pPr>
              <w:spacing w:after="0"/>
              <w:rPr>
                <w:sz w:val="20"/>
                <w:szCs w:val="20"/>
                <w:color w:val="auto"/>
              </w:rPr>
            </w:pPr>
            <w:r>
              <w:rPr>
                <w:rFonts w:ascii="Arial" w:cs="Arial" w:eastAsia="Arial" w:hAnsi="Arial"/>
                <w:sz w:val="18"/>
                <w:szCs w:val="18"/>
                <w:color w:val="auto"/>
              </w:rPr>
              <w:t>Die Generalversammlung ist das oberste</w:t>
            </w:r>
          </w:p>
        </w:tc>
        <w:tc>
          <w:tcPr>
            <w:tcW w:w="660" w:type="dxa"/>
            <w:vAlign w:val="bottom"/>
          </w:tcPr>
          <w:p>
            <w:pPr>
              <w:ind w:left="100"/>
              <w:spacing w:after="0"/>
              <w:rPr>
                <w:sz w:val="20"/>
                <w:szCs w:val="20"/>
                <w:color w:val="auto"/>
              </w:rPr>
            </w:pPr>
            <w:r>
              <w:rPr>
                <w:rFonts w:ascii="Arial" w:cs="Arial" w:eastAsia="Arial" w:hAnsi="Arial"/>
                <w:sz w:val="14"/>
                <w:szCs w:val="14"/>
                <w:color w:val="auto"/>
                <w:w w:val="97"/>
              </w:rPr>
              <w:t>Authority</w:t>
            </w:r>
          </w:p>
        </w:tc>
        <w:tc>
          <w:tcPr>
            <w:tcW w:w="0" w:type="dxa"/>
            <w:vAlign w:val="bottom"/>
          </w:tcPr>
          <w:p>
            <w:pPr>
              <w:spacing w:after="0"/>
              <w:rPr>
                <w:sz w:val="1"/>
                <w:szCs w:val="1"/>
                <w:color w:val="auto"/>
              </w:rPr>
            </w:pPr>
          </w:p>
        </w:tc>
      </w:tr>
      <w:tr>
        <w:trPr>
          <w:trHeight w:val="239"/>
        </w:trPr>
        <w:tc>
          <w:tcPr>
            <w:tcW w:w="3380" w:type="dxa"/>
            <w:vAlign w:val="bottom"/>
          </w:tcPr>
          <w:p>
            <w:pPr>
              <w:spacing w:after="0"/>
              <w:rPr>
                <w:sz w:val="20"/>
                <w:szCs w:val="20"/>
                <w:color w:val="auto"/>
              </w:rPr>
            </w:pPr>
            <w:r>
              <w:rPr>
                <w:rFonts w:ascii="Arial" w:cs="Arial" w:eastAsia="Arial" w:hAnsi="Arial"/>
                <w:sz w:val="18"/>
                <w:szCs w:val="18"/>
                <w:color w:val="auto"/>
              </w:rPr>
              <w:t>Organ der Gesellschaft.</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96"/>
        </w:trPr>
        <w:tc>
          <w:tcPr>
            <w:tcW w:w="3380" w:type="dxa"/>
            <w:vAlign w:val="bottom"/>
          </w:tcPr>
          <w:p>
            <w:pPr>
              <w:spacing w:after="0"/>
              <w:rPr>
                <w:sz w:val="20"/>
                <w:szCs w:val="20"/>
                <w:color w:val="auto"/>
              </w:rPr>
            </w:pPr>
            <w:r>
              <w:rPr>
                <w:rFonts w:ascii="Arial" w:cs="Arial" w:eastAsia="Arial" w:hAnsi="Arial"/>
                <w:sz w:val="18"/>
                <w:szCs w:val="18"/>
                <w:b w:val="1"/>
                <w:bCs w:val="1"/>
                <w:color w:val="auto"/>
              </w:rPr>
              <w:t>Artikel 11</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3380" w:type="dxa"/>
            <w:vAlign w:val="bottom"/>
          </w:tcPr>
          <w:p>
            <w:pPr>
              <w:spacing w:after="0"/>
              <w:rPr>
                <w:sz w:val="20"/>
                <w:szCs w:val="20"/>
                <w:color w:val="auto"/>
              </w:rPr>
            </w:pPr>
            <w:r>
              <w:rPr>
                <w:rFonts w:ascii="Arial" w:cs="Arial" w:eastAsia="Arial" w:hAnsi="Arial"/>
                <w:sz w:val="18"/>
                <w:szCs w:val="18"/>
                <w:color w:val="auto"/>
              </w:rPr>
              <w:t>Die ordentliche Generalversammlung</w:t>
            </w:r>
          </w:p>
        </w:tc>
        <w:tc>
          <w:tcPr>
            <w:tcW w:w="660" w:type="dxa"/>
            <w:vAlign w:val="bottom"/>
          </w:tcPr>
          <w:p>
            <w:pPr>
              <w:ind w:left="100"/>
              <w:spacing w:after="0"/>
              <w:rPr>
                <w:sz w:val="20"/>
                <w:szCs w:val="20"/>
                <w:color w:val="auto"/>
              </w:rPr>
            </w:pPr>
            <w:r>
              <w:rPr>
                <w:rFonts w:ascii="Arial" w:cs="Arial" w:eastAsia="Arial" w:hAnsi="Arial"/>
                <w:sz w:val="14"/>
                <w:szCs w:val="14"/>
                <w:color w:val="auto"/>
              </w:rPr>
              <w:t>Annual</w:t>
            </w:r>
          </w:p>
        </w:tc>
        <w:tc>
          <w:tcPr>
            <w:tcW w:w="0" w:type="dxa"/>
            <w:vAlign w:val="bottom"/>
          </w:tcPr>
          <w:p>
            <w:pPr>
              <w:spacing w:after="0"/>
              <w:rPr>
                <w:sz w:val="1"/>
                <w:szCs w:val="1"/>
                <w:color w:val="auto"/>
              </w:rPr>
            </w:pPr>
          </w:p>
        </w:tc>
      </w:tr>
      <w:tr>
        <w:trPr>
          <w:trHeight w:val="203"/>
        </w:trPr>
        <w:tc>
          <w:tcPr>
            <w:tcW w:w="3380" w:type="dxa"/>
            <w:vAlign w:val="bottom"/>
          </w:tcPr>
          <w:p>
            <w:pPr>
              <w:spacing w:after="0" w:line="202" w:lineRule="exact"/>
              <w:rPr>
                <w:sz w:val="20"/>
                <w:szCs w:val="20"/>
                <w:color w:val="auto"/>
              </w:rPr>
            </w:pPr>
            <w:r>
              <w:rPr>
                <w:rFonts w:ascii="Arial" w:cs="Arial" w:eastAsia="Arial" w:hAnsi="Arial"/>
                <w:sz w:val="18"/>
                <w:szCs w:val="18"/>
                <w:color w:val="auto"/>
              </w:rPr>
              <w:t>findet alljährlich innerhalb von sechs</w:t>
            </w:r>
          </w:p>
        </w:tc>
        <w:tc>
          <w:tcPr>
            <w:tcW w:w="660" w:type="dxa"/>
            <w:vAlign w:val="bottom"/>
          </w:tcPr>
          <w:p>
            <w:pPr>
              <w:ind w:left="100"/>
              <w:spacing w:after="0"/>
              <w:rPr>
                <w:sz w:val="20"/>
                <w:szCs w:val="20"/>
                <w:color w:val="auto"/>
              </w:rPr>
            </w:pPr>
            <w:r>
              <w:rPr>
                <w:rFonts w:ascii="Arial" w:cs="Arial" w:eastAsia="Arial" w:hAnsi="Arial"/>
                <w:sz w:val="14"/>
                <w:szCs w:val="14"/>
                <w:color w:val="auto"/>
              </w:rPr>
              <w:t>General</w:t>
            </w:r>
          </w:p>
        </w:tc>
        <w:tc>
          <w:tcPr>
            <w:tcW w:w="0" w:type="dxa"/>
            <w:vAlign w:val="bottom"/>
          </w:tcPr>
          <w:p>
            <w:pPr>
              <w:spacing w:after="0"/>
              <w:rPr>
                <w:sz w:val="1"/>
                <w:szCs w:val="1"/>
                <w:color w:val="auto"/>
              </w:rPr>
            </w:pPr>
          </w:p>
        </w:tc>
      </w:tr>
      <w:tr>
        <w:trPr>
          <w:trHeight w:val="190"/>
        </w:trPr>
        <w:tc>
          <w:tcPr>
            <w:tcW w:w="3380" w:type="dxa"/>
            <w:vAlign w:val="bottom"/>
            <w:vMerge w:val="restart"/>
          </w:tcPr>
          <w:p>
            <w:pPr>
              <w:spacing w:after="0"/>
              <w:rPr>
                <w:sz w:val="20"/>
                <w:szCs w:val="20"/>
                <w:color w:val="auto"/>
              </w:rPr>
            </w:pPr>
            <w:r>
              <w:rPr>
                <w:rFonts w:ascii="Arial" w:cs="Arial" w:eastAsia="Arial" w:hAnsi="Arial"/>
                <w:sz w:val="18"/>
                <w:szCs w:val="18"/>
                <w:color w:val="auto"/>
              </w:rPr>
              <w:t>Monaten nach Schluss des</w:t>
            </w:r>
          </w:p>
        </w:tc>
        <w:tc>
          <w:tcPr>
            <w:tcW w:w="660" w:type="dxa"/>
            <w:vAlign w:val="bottom"/>
          </w:tcPr>
          <w:p>
            <w:pPr>
              <w:ind w:left="100"/>
              <w:spacing w:after="0"/>
              <w:rPr>
                <w:sz w:val="20"/>
                <w:szCs w:val="20"/>
                <w:color w:val="auto"/>
              </w:rPr>
            </w:pPr>
            <w:r>
              <w:rPr>
                <w:rFonts w:ascii="Arial" w:cs="Arial" w:eastAsia="Arial" w:hAnsi="Arial"/>
                <w:sz w:val="14"/>
                <w:szCs w:val="14"/>
                <w:color w:val="auto"/>
              </w:rPr>
              <w:t>Meeting</w:t>
            </w:r>
          </w:p>
        </w:tc>
        <w:tc>
          <w:tcPr>
            <w:tcW w:w="0" w:type="dxa"/>
            <w:vAlign w:val="bottom"/>
          </w:tcPr>
          <w:p>
            <w:pPr>
              <w:spacing w:after="0"/>
              <w:rPr>
                <w:sz w:val="1"/>
                <w:szCs w:val="1"/>
                <w:color w:val="auto"/>
              </w:rPr>
            </w:pPr>
          </w:p>
        </w:tc>
      </w:tr>
      <w:tr>
        <w:trPr>
          <w:trHeight w:val="34"/>
        </w:trPr>
        <w:tc>
          <w:tcPr>
            <w:tcW w:w="3380" w:type="dxa"/>
            <w:vAlign w:val="bottom"/>
            <w:vMerge w:val="continue"/>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380" w:type="dxa"/>
            <w:vAlign w:val="bottom"/>
          </w:tcPr>
          <w:p>
            <w:pPr>
              <w:spacing w:after="0" w:line="202" w:lineRule="exact"/>
              <w:rPr>
                <w:sz w:val="20"/>
                <w:szCs w:val="20"/>
                <w:color w:val="auto"/>
              </w:rPr>
            </w:pPr>
            <w:r>
              <w:rPr>
                <w:rFonts w:ascii="Arial" w:cs="Arial" w:eastAsia="Arial" w:hAnsi="Arial"/>
                <w:sz w:val="18"/>
                <w:szCs w:val="18"/>
                <w:color w:val="auto"/>
              </w:rPr>
              <w:t>Geschäftsjahres statt. Spätestens</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80" w:type="dxa"/>
            <w:vAlign w:val="bottom"/>
          </w:tcPr>
          <w:p>
            <w:pPr>
              <w:spacing w:after="0" w:line="202" w:lineRule="exact"/>
              <w:rPr>
                <w:sz w:val="20"/>
                <w:szCs w:val="20"/>
                <w:color w:val="auto"/>
              </w:rPr>
            </w:pPr>
            <w:r>
              <w:rPr>
                <w:rFonts w:ascii="Arial" w:cs="Arial" w:eastAsia="Arial" w:hAnsi="Arial"/>
                <w:sz w:val="18"/>
                <w:szCs w:val="18"/>
                <w:color w:val="auto"/>
              </w:rPr>
              <w:t>zwanzig Kalendertage vor der</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80" w:type="dxa"/>
            <w:vAlign w:val="bottom"/>
          </w:tcPr>
          <w:p>
            <w:pPr>
              <w:spacing w:after="0" w:line="202" w:lineRule="exact"/>
              <w:rPr>
                <w:sz w:val="20"/>
                <w:szCs w:val="20"/>
                <w:color w:val="auto"/>
              </w:rPr>
            </w:pPr>
            <w:r>
              <w:rPr>
                <w:rFonts w:ascii="Arial" w:cs="Arial" w:eastAsia="Arial" w:hAnsi="Arial"/>
                <w:sz w:val="18"/>
                <w:szCs w:val="18"/>
                <w:color w:val="auto"/>
              </w:rPr>
              <w:t>Versammlung sind der Geschäftsbericht,</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80" w:type="dxa"/>
            <w:vAlign w:val="bottom"/>
          </w:tcPr>
          <w:p>
            <w:pPr>
              <w:spacing w:after="0" w:line="202" w:lineRule="exact"/>
              <w:rPr>
                <w:sz w:val="20"/>
                <w:szCs w:val="20"/>
                <w:color w:val="auto"/>
              </w:rPr>
            </w:pPr>
            <w:r>
              <w:rPr>
                <w:rFonts w:ascii="Arial" w:cs="Arial" w:eastAsia="Arial" w:hAnsi="Arial"/>
                <w:sz w:val="18"/>
                <w:szCs w:val="18"/>
                <w:color w:val="auto"/>
              </w:rPr>
              <w:t>der Vergütungsbericht, die</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80" w:type="dxa"/>
            <w:vAlign w:val="bottom"/>
          </w:tcPr>
          <w:p>
            <w:pPr>
              <w:spacing w:after="0" w:line="202" w:lineRule="exact"/>
              <w:rPr>
                <w:sz w:val="20"/>
                <w:szCs w:val="20"/>
                <w:color w:val="auto"/>
              </w:rPr>
            </w:pPr>
            <w:r>
              <w:rPr>
                <w:rFonts w:ascii="Arial" w:cs="Arial" w:eastAsia="Arial" w:hAnsi="Arial"/>
                <w:sz w:val="18"/>
                <w:szCs w:val="18"/>
                <w:color w:val="auto"/>
              </w:rPr>
              <w:t>Revisionsberichte und der Bericht über</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80" w:type="dxa"/>
            <w:vAlign w:val="bottom"/>
          </w:tcPr>
          <w:p>
            <w:pPr>
              <w:spacing w:after="0" w:line="202" w:lineRule="exact"/>
              <w:rPr>
                <w:sz w:val="20"/>
                <w:szCs w:val="20"/>
                <w:color w:val="auto"/>
              </w:rPr>
            </w:pPr>
            <w:r>
              <w:rPr>
                <w:rFonts w:ascii="Arial" w:cs="Arial" w:eastAsia="Arial" w:hAnsi="Arial"/>
                <w:sz w:val="18"/>
                <w:szCs w:val="18"/>
                <w:color w:val="auto"/>
              </w:rPr>
              <w:t>die nichtfinanziellen Belange nach</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80" w:type="dxa"/>
            <w:vAlign w:val="bottom"/>
          </w:tcPr>
          <w:p>
            <w:pPr>
              <w:spacing w:after="0" w:line="202" w:lineRule="exact"/>
              <w:rPr>
                <w:sz w:val="20"/>
                <w:szCs w:val="20"/>
                <w:color w:val="auto"/>
              </w:rPr>
            </w:pPr>
            <w:r>
              <w:rPr>
                <w:rFonts w:ascii="Arial" w:cs="Arial" w:eastAsia="Arial" w:hAnsi="Arial"/>
                <w:sz w:val="18"/>
                <w:szCs w:val="18"/>
                <w:color w:val="auto"/>
              </w:rPr>
              <w:t>Artikel 964a OR (soweit und sobald, dass</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80" w:type="dxa"/>
            <w:vAlign w:val="bottom"/>
          </w:tcPr>
          <w:p>
            <w:pPr>
              <w:spacing w:after="0" w:line="202" w:lineRule="exact"/>
              <w:rPr>
                <w:sz w:val="20"/>
                <w:szCs w:val="20"/>
                <w:color w:val="auto"/>
              </w:rPr>
            </w:pPr>
            <w:r>
              <w:rPr>
                <w:rFonts w:ascii="Arial" w:cs="Arial" w:eastAsia="Arial" w:hAnsi="Arial"/>
                <w:sz w:val="18"/>
                <w:szCs w:val="18"/>
                <w:color w:val="auto"/>
              </w:rPr>
              <w:t>dieser Bericht gemäss anwendbarem</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80" w:type="dxa"/>
            <w:vAlign w:val="bottom"/>
          </w:tcPr>
          <w:p>
            <w:pPr>
              <w:spacing w:after="0" w:line="202" w:lineRule="exact"/>
              <w:rPr>
                <w:sz w:val="20"/>
                <w:szCs w:val="20"/>
                <w:color w:val="auto"/>
              </w:rPr>
            </w:pPr>
            <w:r>
              <w:rPr>
                <w:rFonts w:ascii="Arial" w:cs="Arial" w:eastAsia="Arial" w:hAnsi="Arial"/>
                <w:sz w:val="18"/>
                <w:szCs w:val="18"/>
                <w:color w:val="auto"/>
              </w:rPr>
              <w:t>Recht zu erstellen ist) den Aktionären</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80" w:type="dxa"/>
            <w:vAlign w:val="bottom"/>
          </w:tcPr>
          <w:p>
            <w:pPr>
              <w:spacing w:after="0" w:line="202" w:lineRule="exact"/>
              <w:rPr>
                <w:sz w:val="20"/>
                <w:szCs w:val="20"/>
                <w:color w:val="auto"/>
              </w:rPr>
            </w:pPr>
            <w:r>
              <w:rPr>
                <w:rFonts w:ascii="Arial" w:cs="Arial" w:eastAsia="Arial" w:hAnsi="Arial"/>
                <w:sz w:val="18"/>
                <w:szCs w:val="18"/>
                <w:color w:val="auto"/>
              </w:rPr>
              <w:t>zugänglich zu machen. Sofern diese</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80" w:type="dxa"/>
            <w:vAlign w:val="bottom"/>
          </w:tcPr>
          <w:p>
            <w:pPr>
              <w:spacing w:after="0" w:line="202" w:lineRule="exact"/>
              <w:rPr>
                <w:sz w:val="20"/>
                <w:szCs w:val="20"/>
                <w:color w:val="auto"/>
              </w:rPr>
            </w:pPr>
            <w:r>
              <w:rPr>
                <w:rFonts w:ascii="Arial" w:cs="Arial" w:eastAsia="Arial" w:hAnsi="Arial"/>
                <w:sz w:val="18"/>
                <w:szCs w:val="18"/>
                <w:color w:val="auto"/>
              </w:rPr>
              <w:t>Unterlagen nicht elektronisch zugänglich</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80" w:type="dxa"/>
            <w:vAlign w:val="bottom"/>
          </w:tcPr>
          <w:p>
            <w:pPr>
              <w:spacing w:after="0" w:line="202" w:lineRule="exact"/>
              <w:rPr>
                <w:sz w:val="20"/>
                <w:szCs w:val="20"/>
                <w:color w:val="auto"/>
              </w:rPr>
            </w:pPr>
            <w:r>
              <w:rPr>
                <w:rFonts w:ascii="Arial" w:cs="Arial" w:eastAsia="Arial" w:hAnsi="Arial"/>
                <w:sz w:val="18"/>
                <w:szCs w:val="18"/>
                <w:color w:val="auto"/>
              </w:rPr>
              <w:t>sind, kann jeder Aktionär verlangen, dass</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3380" w:type="dxa"/>
            <w:vAlign w:val="bottom"/>
          </w:tcPr>
          <w:p>
            <w:pPr>
              <w:spacing w:after="0"/>
              <w:rPr>
                <w:sz w:val="20"/>
                <w:szCs w:val="20"/>
                <w:color w:val="auto"/>
              </w:rPr>
            </w:pPr>
            <w:r>
              <w:rPr>
                <w:rFonts w:ascii="Arial" w:cs="Arial" w:eastAsia="Arial" w:hAnsi="Arial"/>
                <w:sz w:val="18"/>
                <w:szCs w:val="18"/>
                <w:color w:val="auto"/>
              </w:rPr>
              <w:t>ihm unverzüglich eine Ausfertigung des</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-1012825</wp:posOffset>
            </wp:positionH>
            <wp:positionV relativeFrom="paragraph">
              <wp:posOffset>494665</wp:posOffset>
            </wp:positionV>
            <wp:extent cx="629221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Bodies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wp:posOffset>
            </wp:positionH>
            <wp:positionV relativeFrom="paragraph">
              <wp:posOffset>31750</wp:posOffset>
            </wp:positionV>
            <wp:extent cx="217741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177415" cy="8255"/>
                    </a:xfrm>
                    <a:prstGeom prst="rect">
                      <a:avLst/>
                    </a:prstGeom>
                    <a:noFill/>
                  </pic:spPr>
                </pic:pic>
              </a:graphicData>
            </a:graphic>
          </wp:anchor>
        </w:drawing>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General Meeting of Shareholders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10</w:t>
      </w:r>
    </w:p>
    <w:p>
      <w:pPr>
        <w:spacing w:after="0" w:line="225"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 General Meeting of Shareholders is the supreme corporate body of the Company.</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11</w:t>
      </w:r>
    </w:p>
    <w:p>
      <w:pPr>
        <w:spacing w:after="0" w:line="225"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The Annual General Meeting shall be held each year within six months after the close of the fiscal year of the Company. The Annual Report, the Compensation Report, the Auditor's Reports and the report on non-financial matters pursuant to article 964a CO (to the extent and as soon as such report is to be established in accordance with applicable law) shall be made available to the shareholders no later than twenty calendar days prior to the Annual General Meeting. Unless these documents are accessible electronically, each shareholder is entitled to request prompt delivery of a copy of the Annual Report, the</w:t>
      </w:r>
    </w:p>
    <w:p>
      <w:pPr>
        <w:sectPr>
          <w:pgSz w:w="11900" w:h="16838" w:orient="portrait"/>
          <w:cols w:equalWidth="0" w:num="3">
            <w:col w:w="840" w:space="620"/>
            <w:col w:w="4040" w:space="540"/>
            <w:col w:w="3280"/>
          </w:cols>
          <w:pgMar w:left="1220" w:top="670" w:right="1359" w:bottom="1440" w:gutter="0" w:footer="0" w:header="0"/>
          <w:type w:val="continuous"/>
        </w:sectPr>
      </w:pPr>
    </w:p>
    <w:bookmarkStart w:id="18" w:name="page19"/>
    <w:bookmarkEnd w:id="18"/>
    <w:p>
      <w:pPr>
        <w:jc w:val="center"/>
        <w:ind w:right="-319"/>
        <w:spacing w:after="0"/>
        <w:rPr>
          <w:sz w:val="20"/>
          <w:szCs w:val="20"/>
          <w:color w:val="auto"/>
        </w:rPr>
      </w:pPr>
      <w:r>
        <w:rPr>
          <w:rFonts w:ascii="Arial" w:cs="Arial" w:eastAsia="Arial" w:hAnsi="Arial"/>
          <w:sz w:val="13"/>
          <w:szCs w:val="13"/>
          <w:color w:val="auto"/>
        </w:rPr>
        <w:t>- 12 -</w:t>
      </w:r>
    </w:p>
    <w:p>
      <w:pPr>
        <w:sectPr>
          <w:pgSz w:w="11900" w:h="16838" w:orient="portrait"/>
          <w:cols w:equalWidth="0" w:num="1">
            <w:col w:w="9320"/>
          </w:cols>
          <w:pgMar w:left="1220" w:top="670"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180" w:right="700"/>
        <w:spacing w:after="0" w:line="263" w:lineRule="auto"/>
        <w:rPr>
          <w:sz w:val="20"/>
          <w:szCs w:val="20"/>
          <w:color w:val="auto"/>
        </w:rPr>
      </w:pPr>
      <w:r>
        <w:rPr>
          <w:rFonts w:ascii="Arial" w:cs="Arial" w:eastAsia="Arial" w:hAnsi="Arial"/>
          <w:sz w:val="17"/>
          <w:szCs w:val="17"/>
          <w:color w:val="auto"/>
        </w:rPr>
        <w:t>Geschäftsberichts, des Vergütungsberichts, der Revisionsberichte und des Berichts über die nichtfinanziellen Belange nach Artikel 964a OR ohne Kostenfolge zugesandt wird.</w:t>
      </w:r>
    </w:p>
    <w:p>
      <w:pPr>
        <w:spacing w:after="0" w:line="264" w:lineRule="exact"/>
        <w:rPr>
          <w:sz w:val="20"/>
          <w:szCs w:val="20"/>
          <w:color w:val="auto"/>
        </w:rPr>
      </w:pPr>
    </w:p>
    <w:p>
      <w:pPr>
        <w:ind w:left="1180"/>
        <w:spacing w:after="0"/>
        <w:rPr>
          <w:sz w:val="20"/>
          <w:szCs w:val="20"/>
          <w:color w:val="auto"/>
        </w:rPr>
      </w:pPr>
      <w:r>
        <w:rPr>
          <w:rFonts w:ascii="Arial" w:cs="Arial" w:eastAsia="Arial" w:hAnsi="Arial"/>
          <w:sz w:val="18"/>
          <w:szCs w:val="18"/>
          <w:b w:val="1"/>
          <w:bCs w:val="1"/>
          <w:color w:val="auto"/>
        </w:rPr>
        <w:t>Artikel 12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0"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auto"/>
        </w:rPr>
        <w:t>Compensation Report, the Auditor's Reports and the report on non-financial matters pursuant to article 964a CO free of charge.</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12</w:t>
      </w:r>
    </w:p>
    <w:p>
      <w:pPr>
        <w:spacing w:after="0" w:line="199" w:lineRule="exact"/>
        <w:rPr>
          <w:sz w:val="20"/>
          <w:szCs w:val="20"/>
          <w:color w:val="auto"/>
        </w:rPr>
      </w:pPr>
    </w:p>
    <w:p>
      <w:pPr>
        <w:sectPr>
          <w:pgSz w:w="11900" w:h="16838" w:orient="portrait"/>
          <w:cols w:equalWidth="0" w:num="2">
            <w:col w:w="5260" w:space="720"/>
            <w:col w:w="3340"/>
          </w:cols>
          <w:pgMar w:left="1220" w:top="670" w:right="1359" w:bottom="1440" w:gutter="0" w:footer="0" w:header="0"/>
          <w:type w:val="continuous"/>
        </w:sectPr>
      </w:pPr>
    </w:p>
    <w:p>
      <w:pPr>
        <w:spacing w:after="0" w:line="36" w:lineRule="exact"/>
        <w:rPr>
          <w:sz w:val="20"/>
          <w:szCs w:val="20"/>
          <w:color w:val="auto"/>
        </w:rPr>
      </w:pPr>
    </w:p>
    <w:p>
      <w:pPr>
        <w:spacing w:after="0" w:line="256" w:lineRule="auto"/>
        <w:rPr>
          <w:sz w:val="20"/>
          <w:szCs w:val="20"/>
          <w:color w:val="auto"/>
        </w:rPr>
      </w:pPr>
      <w:r>
        <w:rPr>
          <w:rFonts w:ascii="Arial" w:cs="Arial" w:eastAsia="Arial" w:hAnsi="Arial"/>
          <w:sz w:val="14"/>
          <w:szCs w:val="14"/>
          <w:color w:val="auto"/>
        </w:rPr>
        <w:t>Ausser-ordentliche Generalver-­ sammlung</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ind w:left="271" w:right="20" w:hanging="271"/>
        <w:spacing w:after="0" w:line="219" w:lineRule="auto"/>
        <w:tabs>
          <w:tab w:leader="none" w:pos="271" w:val="left"/>
        </w:tabs>
        <w:numPr>
          <w:ilvl w:val="0"/>
          <w:numId w:val="66"/>
        </w:numPr>
        <w:rPr>
          <w:rFonts w:ascii="Arial" w:cs="Arial" w:eastAsia="Arial" w:hAnsi="Arial"/>
          <w:sz w:val="29"/>
          <w:szCs w:val="29"/>
          <w:color w:val="auto"/>
          <w:vertAlign w:val="superscript"/>
        </w:rPr>
      </w:pPr>
      <w:r>
        <w:rPr>
          <w:rFonts w:ascii="Arial" w:cs="Arial" w:eastAsia="Arial" w:hAnsi="Arial"/>
          <w:sz w:val="18"/>
          <w:szCs w:val="18"/>
          <w:color w:val="auto"/>
        </w:rPr>
        <w:t>Ausserordentliche Generalversammlungen finden in den vom Gesetz vorgesehenen Fällen statt, insbesondere, wenn der Verwaltungsrat es für notwendig oder angezeigt erachtet oder die Revisionsstelle dies verlangt.</w:t>
      </w:r>
    </w:p>
    <w:p>
      <w:pPr>
        <w:spacing w:after="0" w:line="74" w:lineRule="exact"/>
        <w:rPr>
          <w:sz w:val="20"/>
          <w:szCs w:val="20"/>
          <w:color w:val="auto"/>
        </w:rPr>
      </w:pPr>
    </w:p>
    <w:p>
      <w:pPr>
        <w:ind w:left="271" w:hanging="271"/>
        <w:spacing w:after="0" w:line="230" w:lineRule="auto"/>
        <w:tabs>
          <w:tab w:leader="none" w:pos="271" w:val="left"/>
        </w:tabs>
        <w:numPr>
          <w:ilvl w:val="0"/>
          <w:numId w:val="67"/>
        </w:numPr>
        <w:rPr>
          <w:rFonts w:ascii="Arial" w:cs="Arial" w:eastAsia="Arial" w:hAnsi="Arial"/>
          <w:sz w:val="29"/>
          <w:szCs w:val="29"/>
          <w:color w:val="auto"/>
          <w:vertAlign w:val="superscript"/>
        </w:rPr>
      </w:pPr>
      <w:r>
        <w:rPr>
          <w:rFonts w:ascii="Arial" w:cs="Arial" w:eastAsia="Arial" w:hAnsi="Arial"/>
          <w:sz w:val="18"/>
          <w:szCs w:val="18"/>
          <w:color w:val="auto"/>
        </w:rPr>
        <w:t>Ausserdem muss der Verwaltungsrat eine ausserordentliche Generalversammlung einberufen, wenn es eine Generalversammlung so beschliesst oder wenn ein oder mehrere Aktionäre, welche zusammen mindestens 5 % des im Handelsregister eingetragenen Aktienkapitals oder Stimmen vertreten, dies verlangen, unter der Voraussetzung, dass folgende Angaben gemacht werden: (a)(1) die Verhandlungsgegenstände, schriftlich unterzeichnet von dem/den antragstellenden Aktionär(en), (2) die Anträge sowie (3) der Nachweis der erforderlichen Anzahl der im Aktienbuch eingetragenen Aktien; und (b) die weiteren Informationen, die von der Gesellschaft nach den Regeln der U.S. Securities and Exchange Commission (</w:t>
      </w:r>
      <w:r>
        <w:rPr>
          <w:rFonts w:ascii="Arial" w:cs="Arial" w:eastAsia="Arial" w:hAnsi="Arial"/>
          <w:sz w:val="18"/>
          <w:szCs w:val="18"/>
          <w:b w:val="1"/>
          <w:bCs w:val="1"/>
          <w:color w:val="auto"/>
        </w:rPr>
        <w:t>SEC</w:t>
      </w:r>
      <w:r>
        <w:rPr>
          <w:rFonts w:ascii="Arial" w:cs="Arial" w:eastAsia="Arial" w:hAnsi="Arial"/>
          <w:sz w:val="18"/>
          <w:szCs w:val="18"/>
          <w:color w:val="auto"/>
        </w:rPr>
        <w:t>) in einem sog. Proxy Statement aufgenommen und veröffentlicht werden müssen.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200" w:type="dxa"/>
            <w:vAlign w:val="bottom"/>
          </w:tcPr>
          <w:p>
            <w:pPr>
              <w:spacing w:after="0"/>
              <w:rPr>
                <w:sz w:val="20"/>
                <w:szCs w:val="20"/>
                <w:color w:val="auto"/>
              </w:rPr>
            </w:pPr>
            <w:r>
              <w:rPr>
                <w:rFonts w:ascii="Arial" w:cs="Arial" w:eastAsia="Arial" w:hAnsi="Arial"/>
                <w:sz w:val="14"/>
                <w:szCs w:val="14"/>
                <w:color w:val="auto"/>
              </w:rPr>
              <w:t>Extraordinary  1</w:t>
            </w:r>
          </w:p>
        </w:tc>
        <w:tc>
          <w:tcPr>
            <w:tcW w:w="3420" w:type="dxa"/>
            <w:vAlign w:val="bottom"/>
          </w:tcPr>
          <w:p>
            <w:pPr>
              <w:ind w:left="80"/>
              <w:spacing w:after="0"/>
              <w:rPr>
                <w:sz w:val="20"/>
                <w:szCs w:val="20"/>
                <w:color w:val="auto"/>
              </w:rPr>
            </w:pPr>
            <w:r>
              <w:rPr>
                <w:rFonts w:ascii="Arial" w:cs="Arial" w:eastAsia="Arial" w:hAnsi="Arial"/>
                <w:sz w:val="18"/>
                <w:szCs w:val="18"/>
                <w:color w:val="auto"/>
              </w:rPr>
              <w:t>Extraordinary General Meetings shall be</w:t>
            </w:r>
          </w:p>
        </w:tc>
        <w:tc>
          <w:tcPr>
            <w:tcW w:w="0" w:type="dxa"/>
            <w:vAlign w:val="bottom"/>
          </w:tcPr>
          <w:p>
            <w:pPr>
              <w:spacing w:after="0"/>
              <w:rPr>
                <w:sz w:val="1"/>
                <w:szCs w:val="1"/>
                <w:color w:val="auto"/>
              </w:rPr>
            </w:pPr>
          </w:p>
        </w:tc>
      </w:tr>
      <w:tr>
        <w:trPr>
          <w:trHeight w:val="203"/>
        </w:trPr>
        <w:tc>
          <w:tcPr>
            <w:tcW w:w="1200" w:type="dxa"/>
            <w:vAlign w:val="bottom"/>
          </w:tcPr>
          <w:p>
            <w:pPr>
              <w:spacing w:after="0"/>
              <w:rPr>
                <w:sz w:val="20"/>
                <w:szCs w:val="20"/>
                <w:color w:val="auto"/>
              </w:rPr>
            </w:pPr>
            <w:r>
              <w:rPr>
                <w:rFonts w:ascii="Arial" w:cs="Arial" w:eastAsia="Arial" w:hAnsi="Arial"/>
                <w:sz w:val="14"/>
                <w:szCs w:val="14"/>
                <w:color w:val="auto"/>
              </w:rPr>
              <w:t>General</w:t>
            </w:r>
          </w:p>
        </w:tc>
        <w:tc>
          <w:tcPr>
            <w:tcW w:w="3420" w:type="dxa"/>
            <w:vAlign w:val="bottom"/>
          </w:tcPr>
          <w:p>
            <w:pPr>
              <w:ind w:left="80"/>
              <w:spacing w:after="0" w:line="202" w:lineRule="exact"/>
              <w:rPr>
                <w:sz w:val="20"/>
                <w:szCs w:val="20"/>
                <w:color w:val="auto"/>
              </w:rPr>
            </w:pPr>
            <w:r>
              <w:rPr>
                <w:rFonts w:ascii="Arial" w:cs="Arial" w:eastAsia="Arial" w:hAnsi="Arial"/>
                <w:sz w:val="18"/>
                <w:szCs w:val="18"/>
                <w:color w:val="auto"/>
              </w:rPr>
              <w:t>held in the circumstances provided by</w:t>
            </w:r>
          </w:p>
        </w:tc>
        <w:tc>
          <w:tcPr>
            <w:tcW w:w="0" w:type="dxa"/>
            <w:vAlign w:val="bottom"/>
          </w:tcPr>
          <w:p>
            <w:pPr>
              <w:spacing w:after="0"/>
              <w:rPr>
                <w:sz w:val="1"/>
                <w:szCs w:val="1"/>
                <w:color w:val="auto"/>
              </w:rPr>
            </w:pPr>
          </w:p>
        </w:tc>
      </w:tr>
      <w:tr>
        <w:trPr>
          <w:trHeight w:val="190"/>
        </w:trPr>
        <w:tc>
          <w:tcPr>
            <w:tcW w:w="1200" w:type="dxa"/>
            <w:vAlign w:val="bottom"/>
          </w:tcPr>
          <w:p>
            <w:pPr>
              <w:spacing w:after="0"/>
              <w:rPr>
                <w:sz w:val="20"/>
                <w:szCs w:val="20"/>
                <w:color w:val="auto"/>
              </w:rPr>
            </w:pPr>
            <w:r>
              <w:rPr>
                <w:rFonts w:ascii="Arial" w:cs="Arial" w:eastAsia="Arial" w:hAnsi="Arial"/>
                <w:sz w:val="14"/>
                <w:szCs w:val="14"/>
                <w:color w:val="auto"/>
              </w:rPr>
              <w:t>Meetings</w:t>
            </w:r>
          </w:p>
        </w:tc>
        <w:tc>
          <w:tcPr>
            <w:tcW w:w="3420" w:type="dxa"/>
            <w:vAlign w:val="bottom"/>
            <w:vMerge w:val="restart"/>
          </w:tcPr>
          <w:p>
            <w:pPr>
              <w:ind w:left="80"/>
              <w:spacing w:after="0"/>
              <w:rPr>
                <w:sz w:val="20"/>
                <w:szCs w:val="20"/>
                <w:color w:val="auto"/>
              </w:rPr>
            </w:pPr>
            <w:r>
              <w:rPr>
                <w:rFonts w:ascii="Arial" w:cs="Arial" w:eastAsia="Arial" w:hAnsi="Arial"/>
                <w:sz w:val="18"/>
                <w:szCs w:val="18"/>
                <w:color w:val="auto"/>
                <w:w w:val="99"/>
              </w:rPr>
              <w:t>law, in particular when deemed necessary</w:t>
            </w:r>
          </w:p>
        </w:tc>
        <w:tc>
          <w:tcPr>
            <w:tcW w:w="0" w:type="dxa"/>
            <w:vAlign w:val="bottom"/>
          </w:tcPr>
          <w:p>
            <w:pPr>
              <w:spacing w:after="0"/>
              <w:rPr>
                <w:sz w:val="1"/>
                <w:szCs w:val="1"/>
                <w:color w:val="auto"/>
              </w:rPr>
            </w:pPr>
          </w:p>
        </w:tc>
      </w:tr>
      <w:tr>
        <w:trPr>
          <w:trHeight w:val="34"/>
        </w:trPr>
        <w:tc>
          <w:tcPr>
            <w:tcW w:w="1200" w:type="dxa"/>
            <w:vAlign w:val="bottom"/>
          </w:tcPr>
          <w:p>
            <w:pPr>
              <w:spacing w:after="0"/>
              <w:rPr>
                <w:sz w:val="2"/>
                <w:szCs w:val="2"/>
                <w:color w:val="auto"/>
              </w:rPr>
            </w:pPr>
          </w:p>
        </w:tc>
        <w:tc>
          <w:tcPr>
            <w:tcW w:w="34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200" w:type="dxa"/>
            <w:vAlign w:val="bottom"/>
          </w:tcPr>
          <w:p>
            <w:pPr>
              <w:spacing w:after="0"/>
              <w:rPr>
                <w:sz w:val="17"/>
                <w:szCs w:val="17"/>
                <w:color w:val="auto"/>
              </w:rPr>
            </w:pPr>
          </w:p>
        </w:tc>
        <w:tc>
          <w:tcPr>
            <w:tcW w:w="3420" w:type="dxa"/>
            <w:vAlign w:val="bottom"/>
          </w:tcPr>
          <w:p>
            <w:pPr>
              <w:ind w:left="80"/>
              <w:spacing w:after="0" w:line="202" w:lineRule="exact"/>
              <w:rPr>
                <w:sz w:val="20"/>
                <w:szCs w:val="20"/>
                <w:color w:val="auto"/>
              </w:rPr>
            </w:pPr>
            <w:r>
              <w:rPr>
                <w:rFonts w:ascii="Arial" w:cs="Arial" w:eastAsia="Arial" w:hAnsi="Arial"/>
                <w:sz w:val="18"/>
                <w:szCs w:val="18"/>
                <w:color w:val="auto"/>
              </w:rPr>
              <w:t>or appropriate by the Board of Directors</w:t>
            </w:r>
          </w:p>
        </w:tc>
        <w:tc>
          <w:tcPr>
            <w:tcW w:w="0" w:type="dxa"/>
            <w:vAlign w:val="bottom"/>
          </w:tcPr>
          <w:p>
            <w:pPr>
              <w:spacing w:after="0"/>
              <w:rPr>
                <w:sz w:val="1"/>
                <w:szCs w:val="1"/>
                <w:color w:val="auto"/>
              </w:rPr>
            </w:pPr>
          </w:p>
        </w:tc>
      </w:tr>
      <w:tr>
        <w:trPr>
          <w:trHeight w:val="239"/>
        </w:trPr>
        <w:tc>
          <w:tcPr>
            <w:tcW w:w="1200" w:type="dxa"/>
            <w:vAlign w:val="bottom"/>
          </w:tcPr>
          <w:p>
            <w:pPr>
              <w:spacing w:after="0"/>
              <w:rPr>
                <w:sz w:val="20"/>
                <w:szCs w:val="20"/>
                <w:color w:val="auto"/>
              </w:rPr>
            </w:pPr>
          </w:p>
        </w:tc>
        <w:tc>
          <w:tcPr>
            <w:tcW w:w="3420" w:type="dxa"/>
            <w:vAlign w:val="bottom"/>
          </w:tcPr>
          <w:p>
            <w:pPr>
              <w:ind w:left="80"/>
              <w:spacing w:after="0"/>
              <w:rPr>
                <w:sz w:val="20"/>
                <w:szCs w:val="20"/>
                <w:color w:val="auto"/>
              </w:rPr>
            </w:pPr>
            <w:r>
              <w:rPr>
                <w:rFonts w:ascii="Arial" w:cs="Arial" w:eastAsia="Arial" w:hAnsi="Arial"/>
                <w:sz w:val="18"/>
                <w:szCs w:val="18"/>
                <w:color w:val="auto"/>
              </w:rPr>
              <w:t>or if so requested by the Auditor.</w:t>
            </w:r>
          </w:p>
        </w:tc>
        <w:tc>
          <w:tcPr>
            <w:tcW w:w="0" w:type="dxa"/>
            <w:vAlign w:val="bottom"/>
          </w:tcPr>
          <w:p>
            <w:pPr>
              <w:spacing w:after="0"/>
              <w:rPr>
                <w:sz w:val="1"/>
                <w:szCs w:val="1"/>
                <w:color w:val="auto"/>
              </w:rPr>
            </w:pPr>
          </w:p>
        </w:tc>
      </w:tr>
    </w:tbl>
    <w:p>
      <w:pPr>
        <w:spacing w:after="0" w:line="274" w:lineRule="exact"/>
        <w:rPr>
          <w:sz w:val="20"/>
          <w:szCs w:val="20"/>
          <w:color w:val="auto"/>
        </w:rPr>
      </w:pPr>
    </w:p>
    <w:p>
      <w:pPr>
        <w:ind w:left="1280" w:right="40" w:hanging="265"/>
        <w:spacing w:after="0" w:line="230" w:lineRule="auto"/>
        <w:tabs>
          <w:tab w:leader="none" w:pos="1280" w:val="left"/>
        </w:tabs>
        <w:numPr>
          <w:ilvl w:val="0"/>
          <w:numId w:val="68"/>
        </w:numPr>
        <w:rPr>
          <w:rFonts w:ascii="Arial" w:cs="Arial" w:eastAsia="Arial" w:hAnsi="Arial"/>
          <w:sz w:val="29"/>
          <w:szCs w:val="29"/>
          <w:color w:val="auto"/>
          <w:vertAlign w:val="superscript"/>
        </w:rPr>
      </w:pPr>
      <w:r>
        <w:rPr>
          <w:rFonts w:ascii="Arial" w:cs="Arial" w:eastAsia="Arial" w:hAnsi="Arial"/>
          <w:sz w:val="18"/>
          <w:szCs w:val="18"/>
          <w:color w:val="auto"/>
        </w:rPr>
        <w:t>An Extraordinary General Meeting shall further be convened by the Board of Directors upon resolution of a General Meeting of Shareholders or if so requested by one or more shareholders who, in the aggregate, represent at least 5% of the share capital or votes recorded in the Commercial Register and who submit (a)(1) a request signed by such shareholder(s) that specifies the item(s) to be included on the agenda, (2) the respective proposals of the shareholders and (3) evidence of the required shareholdings recorded in the share register and (b) such other information as would be required to be included in a proxy statement pursuant to the rules of the U.S. Securities and Exchange Commission (</w:t>
      </w:r>
      <w:r>
        <w:rPr>
          <w:rFonts w:ascii="Arial" w:cs="Arial" w:eastAsia="Arial" w:hAnsi="Arial"/>
          <w:sz w:val="18"/>
          <w:szCs w:val="18"/>
          <w:b w:val="1"/>
          <w:bCs w:val="1"/>
          <w:color w:val="auto"/>
        </w:rPr>
        <w:t>SEC</w:t>
      </w:r>
      <w:r>
        <w:rPr>
          <w:rFonts w:ascii="Arial" w:cs="Arial" w:eastAsia="Arial" w:hAnsi="Arial"/>
          <w:sz w:val="18"/>
          <w:szCs w:val="18"/>
          <w:color w:val="auto"/>
        </w:rPr>
        <w:t>).</w:t>
      </w:r>
    </w:p>
    <w:p>
      <w:pPr>
        <w:spacing w:after="0" w:line="470" w:lineRule="exact"/>
        <w:rPr>
          <w:sz w:val="20"/>
          <w:szCs w:val="20"/>
          <w:color w:val="auto"/>
        </w:rPr>
      </w:pPr>
    </w:p>
    <w:p>
      <w:pPr>
        <w:sectPr>
          <w:pgSz w:w="11900" w:h="16838" w:orient="portrait"/>
          <w:cols w:equalWidth="0" w:num="3">
            <w:col w:w="760" w:space="149"/>
            <w:col w:w="3671" w:space="120"/>
            <w:col w:w="4620"/>
          </w:cols>
          <w:pgMar w:left="1220" w:top="670" w:right="1359" w:bottom="1440" w:gutter="0" w:footer="0" w:header="0"/>
          <w:type w:val="continuous"/>
        </w:sectPr>
      </w:pPr>
    </w:p>
    <w:p>
      <w:pPr>
        <w:ind w:left="1180"/>
        <w:spacing w:after="0"/>
        <w:tabs>
          <w:tab w:leader="none" w:pos="5960" w:val="left"/>
        </w:tabs>
        <w:rPr>
          <w:sz w:val="20"/>
          <w:szCs w:val="20"/>
          <w:color w:val="auto"/>
        </w:rPr>
      </w:pPr>
      <w:r>
        <w:rPr>
          <w:rFonts w:ascii="Arial" w:cs="Arial" w:eastAsia="Arial" w:hAnsi="Arial"/>
          <w:sz w:val="18"/>
          <w:szCs w:val="18"/>
          <w:b w:val="1"/>
          <w:bCs w:val="1"/>
          <w:color w:val="auto"/>
        </w:rPr>
        <w:t>Artikel 13</w:t>
      </w:r>
      <w:r>
        <w:rPr>
          <w:sz w:val="20"/>
          <w:szCs w:val="20"/>
          <w:color w:val="auto"/>
        </w:rPr>
        <w:tab/>
      </w:r>
      <w:r>
        <w:rPr>
          <w:rFonts w:ascii="Arial" w:cs="Arial" w:eastAsia="Arial" w:hAnsi="Arial"/>
          <w:sz w:val="18"/>
          <w:szCs w:val="18"/>
          <w:b w:val="1"/>
          <w:bCs w:val="1"/>
          <w:color w:val="auto"/>
        </w:rPr>
        <w:t>Article 13</w:t>
      </w:r>
    </w:p>
    <w:p>
      <w:pPr>
        <w:sectPr>
          <w:pgSz w:w="11900" w:h="16838" w:orient="portrait"/>
          <w:cols w:equalWidth="0" w:num="1">
            <w:col w:w="9320"/>
          </w:cols>
          <w:pgMar w:left="1220" w:top="670" w:right="1359" w:bottom="1440" w:gutter="0" w:footer="0" w:header="0"/>
          <w:type w:val="continuous"/>
        </w:sectPr>
      </w:pPr>
    </w:p>
    <w:p>
      <w:pPr>
        <w:spacing w:after="0" w:line="225" w:lineRule="exact"/>
        <w:rPr>
          <w:sz w:val="20"/>
          <w:szCs w:val="20"/>
          <w:color w:val="auto"/>
        </w:rPr>
      </w:pPr>
    </w:p>
    <w:p>
      <w:pPr>
        <w:ind w:left="1180" w:hanging="1187"/>
        <w:spacing w:after="0" w:line="237" w:lineRule="auto"/>
        <w:tabs>
          <w:tab w:leader="none" w:pos="1160" w:val="left"/>
        </w:tabs>
        <w:rPr>
          <w:sz w:val="20"/>
          <w:szCs w:val="20"/>
          <w:color w:val="auto"/>
        </w:rPr>
      </w:pPr>
      <w:r>
        <w:rPr>
          <w:rFonts w:ascii="Arial" w:cs="Arial" w:eastAsia="Arial" w:hAnsi="Arial"/>
          <w:sz w:val="28"/>
          <w:szCs w:val="28"/>
          <w:color w:val="auto"/>
          <w:vertAlign w:val="superscript"/>
        </w:rPr>
        <w:t>Einberufung 1</w:t>
      </w:r>
      <w:r>
        <w:rPr>
          <w:rFonts w:ascii="Arial" w:cs="Arial" w:eastAsia="Arial" w:hAnsi="Arial"/>
          <w:sz w:val="18"/>
          <w:szCs w:val="18"/>
          <w:color w:val="auto"/>
        </w:rPr>
        <w:tab/>
        <w:t>Die Generalversammlung wird durch den Verwaltungsrat, nötigenfalls die Revisionsstelle, spätestens 20 Kalendertage vor dem Tag der Generalversammlung einberufen. Die Einberufung erfolgt gemäss Artikel 33 Abs. 2 dieser Statuten. Für die Einhaltung der Einberufungsfrist ist der Tag der Veröffentlichung der Einberufung im Publikationsorgan massgeblich, wobei der Tag der Veröffentlichung nicht mitzuzählen ist. Die im Aktienbuch eingetragenen Aktionäre können zudem auf dem ordentlichen Postweg oder in einer anderen Form, die</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line="263" w:lineRule="auto"/>
        <w:rPr>
          <w:sz w:val="20"/>
          <w:szCs w:val="20"/>
          <w:color w:val="auto"/>
        </w:rPr>
      </w:pPr>
      <w:r>
        <w:rPr>
          <w:rFonts w:ascii="Arial" w:cs="Arial" w:eastAsia="Arial" w:hAnsi="Arial"/>
          <w:sz w:val="14"/>
          <w:szCs w:val="14"/>
          <w:color w:val="auto"/>
        </w:rPr>
        <w:t>Notice of Shareholders'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-3070225</wp:posOffset>
            </wp:positionH>
            <wp:positionV relativeFrom="paragraph">
              <wp:posOffset>1975485</wp:posOffset>
            </wp:positionV>
            <wp:extent cx="629221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265" w:right="20" w:hanging="265"/>
        <w:spacing w:after="0" w:line="228" w:lineRule="auto"/>
        <w:tabs>
          <w:tab w:leader="none" w:pos="265" w:val="left"/>
        </w:tabs>
        <w:numPr>
          <w:ilvl w:val="0"/>
          <w:numId w:val="69"/>
        </w:numPr>
        <w:rPr>
          <w:rFonts w:ascii="Arial" w:cs="Arial" w:eastAsia="Arial" w:hAnsi="Arial"/>
          <w:sz w:val="29"/>
          <w:szCs w:val="29"/>
          <w:color w:val="auto"/>
          <w:vertAlign w:val="superscript"/>
        </w:rPr>
      </w:pPr>
      <w:r>
        <w:rPr>
          <w:rFonts w:ascii="Arial" w:cs="Arial" w:eastAsia="Arial" w:hAnsi="Arial"/>
          <w:sz w:val="18"/>
          <w:szCs w:val="18"/>
          <w:color w:val="auto"/>
        </w:rPr>
        <w:t>Notice of a General Meeting of Shareholders shall be given by the Board of Directors or, if necessary, by the Auditor, no later than twenty calendar days prior to the date of the General Meeting of Shareholders. Notice of the General Meeting of Shareholders shall be given pursuant to Article 33 para. 2 of these Articles of Association. The notice period shall be deemed to have been observed if notice of the General Meeting of Shareholders is published in such official means of publication, it being understood that the date of publication is not to be included for</w:t>
      </w:r>
    </w:p>
    <w:p>
      <w:pPr>
        <w:sectPr>
          <w:pgSz w:w="11900" w:h="16838" w:orient="portrait"/>
          <w:cols w:equalWidth="0" w:num="3">
            <w:col w:w="4560" w:space="140"/>
            <w:col w:w="880" w:space="135"/>
            <w:col w:w="3605"/>
          </w:cols>
          <w:pgMar w:left="1220" w:top="670" w:right="1359" w:bottom="1440" w:gutter="0" w:footer="0" w:header="0"/>
          <w:type w:val="continuous"/>
        </w:sectPr>
      </w:pPr>
    </w:p>
    <w:bookmarkStart w:id="19" w:name="page20"/>
    <w:bookmarkEnd w:id="19"/>
    <w:p>
      <w:pPr>
        <w:jc w:val="center"/>
        <w:ind w:right="-319"/>
        <w:spacing w:after="0"/>
        <w:rPr>
          <w:sz w:val="20"/>
          <w:szCs w:val="20"/>
          <w:color w:val="auto"/>
        </w:rPr>
      </w:pPr>
      <w:r>
        <w:rPr>
          <w:rFonts w:ascii="Arial" w:cs="Arial" w:eastAsia="Arial" w:hAnsi="Arial"/>
          <w:sz w:val="13"/>
          <w:szCs w:val="13"/>
          <w:color w:val="auto"/>
        </w:rPr>
        <w:t>- 13 -</w:t>
      </w:r>
    </w:p>
    <w:p>
      <w:pPr>
        <w:sectPr>
          <w:pgSz w:w="11900" w:h="16838" w:orient="portrait"/>
          <w:cols w:equalWidth="0" w:num="1">
            <w:col w:w="9320"/>
          </w:cols>
          <w:pgMar w:left="1220" w:top="670"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340" w:right="560"/>
        <w:spacing w:after="0" w:line="253" w:lineRule="auto"/>
        <w:rPr>
          <w:sz w:val="20"/>
          <w:szCs w:val="20"/>
          <w:color w:val="auto"/>
        </w:rPr>
      </w:pPr>
      <w:r>
        <w:rPr>
          <w:rFonts w:ascii="Arial" w:cs="Arial" w:eastAsia="Arial" w:hAnsi="Arial"/>
          <w:sz w:val="18"/>
          <w:szCs w:val="18"/>
          <w:color w:val="auto"/>
        </w:rPr>
        <w:t>den Nachweis durch Text ermöglicht, über die Generalversammlung informiert werden.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0"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purposes of computing the notice period. Shareholders of record may in addition be informed of the General Meeting of Shareholders by ordinary mail or in another form that allows proof by text.</w:t>
      </w:r>
    </w:p>
    <w:p>
      <w:pPr>
        <w:spacing w:after="0" w:line="68" w:lineRule="exact"/>
        <w:rPr>
          <w:sz w:val="20"/>
          <w:szCs w:val="20"/>
          <w:color w:val="auto"/>
        </w:rPr>
      </w:pPr>
    </w:p>
    <w:p>
      <w:pPr>
        <w:sectPr>
          <w:pgSz w:w="11900" w:h="16838" w:orient="portrait"/>
          <w:cols w:equalWidth="0" w:num="2">
            <w:col w:w="5260" w:space="720"/>
            <w:col w:w="3340"/>
          </w:cols>
          <w:pgMar w:left="1220" w:top="670" w:right="1359" w:bottom="1440" w:gutter="0" w:footer="0" w:header="0"/>
          <w:type w:val="continuous"/>
        </w:sectPr>
      </w:pPr>
    </w:p>
    <w:p>
      <w:pPr>
        <w:ind w:left="1340" w:right="322" w:hanging="255"/>
        <w:spacing w:after="0" w:line="225" w:lineRule="auto"/>
        <w:tabs>
          <w:tab w:leader="none" w:pos="1340" w:val="left"/>
        </w:tabs>
        <w:numPr>
          <w:ilvl w:val="0"/>
          <w:numId w:val="70"/>
        </w:numPr>
        <w:rPr>
          <w:rFonts w:ascii="Arial" w:cs="Arial" w:eastAsia="Arial" w:hAnsi="Arial"/>
          <w:sz w:val="29"/>
          <w:szCs w:val="29"/>
          <w:color w:val="auto"/>
          <w:vertAlign w:val="superscript"/>
        </w:rPr>
      </w:pPr>
      <w:r>
        <w:rPr>
          <w:rFonts w:ascii="Arial" w:cs="Arial" w:eastAsia="Arial" w:hAnsi="Arial"/>
          <w:sz w:val="18"/>
          <w:szCs w:val="18"/>
          <w:color w:val="auto"/>
        </w:rPr>
        <w:t>Die Einberufung muss die Verhandlungsgegenstände sowie die Anträge des Verwaltungsrates und des oder der Aktionäre, welche die Durchführung einer Generalversammlung oder die Traktandierung eines Verhandlungsgegenstandes verlangt haben, und bei Wahlgeschäften die Namen des oder der zur Wahl vorgeschlagenen Kandidaten enthalten.</w:t>
      </w:r>
    </w:p>
    <w:p>
      <w:pPr>
        <w:spacing w:after="0" w:line="73" w:lineRule="exact"/>
        <w:rPr>
          <w:rFonts w:ascii="Arial" w:cs="Arial" w:eastAsia="Arial" w:hAnsi="Arial"/>
          <w:sz w:val="29"/>
          <w:szCs w:val="29"/>
          <w:color w:val="auto"/>
          <w:vertAlign w:val="superscript"/>
        </w:rPr>
      </w:pPr>
    </w:p>
    <w:p>
      <w:pPr>
        <w:ind w:left="1340"/>
        <w:spacing w:after="0"/>
        <w:rPr>
          <w:rFonts w:ascii="Arial" w:cs="Arial" w:eastAsia="Arial" w:hAnsi="Arial"/>
          <w:sz w:val="29"/>
          <w:szCs w:val="29"/>
          <w:color w:val="auto"/>
          <w:vertAlign w:val="superscript"/>
        </w:rPr>
      </w:pPr>
      <w:r>
        <w:rPr>
          <w:rFonts w:ascii="Arial" w:cs="Arial" w:eastAsia="Arial" w:hAnsi="Arial"/>
          <w:sz w:val="18"/>
          <w:szCs w:val="18"/>
          <w:b w:val="1"/>
          <w:bCs w:val="1"/>
          <w:color w:val="auto"/>
        </w:rPr>
        <w:t>Artikel 14</w:t>
      </w:r>
    </w:p>
    <w:p>
      <w:pPr>
        <w:spacing w:after="0" w:line="20" w:lineRule="exact"/>
        <w:rPr>
          <w:sz w:val="20"/>
          <w:szCs w:val="20"/>
          <w:color w:val="auto"/>
        </w:rPr>
      </w:pPr>
      <w:r>
        <w:rPr>
          <w:sz w:val="20"/>
          <w:szCs w:val="20"/>
          <w:color w:val="auto"/>
        </w:rPr>
        <w:br w:type="column"/>
      </w:r>
    </w:p>
    <w:p>
      <w:pPr>
        <w:ind w:left="278" w:right="20" w:hanging="278"/>
        <w:spacing w:after="0" w:line="225" w:lineRule="auto"/>
        <w:tabs>
          <w:tab w:leader="none" w:pos="278" w:val="left"/>
        </w:tabs>
        <w:numPr>
          <w:ilvl w:val="0"/>
          <w:numId w:val="71"/>
        </w:numPr>
        <w:rPr>
          <w:rFonts w:ascii="Arial" w:cs="Arial" w:eastAsia="Arial" w:hAnsi="Arial"/>
          <w:sz w:val="29"/>
          <w:szCs w:val="29"/>
          <w:color w:val="auto"/>
          <w:vertAlign w:val="superscript"/>
        </w:rPr>
      </w:pPr>
      <w:r>
        <w:rPr>
          <w:rFonts w:ascii="Arial" w:cs="Arial" w:eastAsia="Arial" w:hAnsi="Arial"/>
          <w:sz w:val="18"/>
          <w:szCs w:val="18"/>
          <w:color w:val="auto"/>
        </w:rPr>
        <w:t>The notice of a General Meeting of Shareholders shall specify the items on the agenda and the proposals of the Board of Directors and the shareholder(s) who requested that a General Meeting of Shareholders be held or an item be included on the agenda, and, in the event of elections, the name(s) of the candidate(s) that has or have been put on the ballot for election.</w:t>
      </w:r>
    </w:p>
    <w:p>
      <w:pPr>
        <w:spacing w:after="0" w:line="73" w:lineRule="exact"/>
        <w:rPr>
          <w:rFonts w:ascii="Arial" w:cs="Arial" w:eastAsia="Arial" w:hAnsi="Arial"/>
          <w:sz w:val="29"/>
          <w:szCs w:val="29"/>
          <w:color w:val="auto"/>
          <w:vertAlign w:val="superscript"/>
        </w:rPr>
      </w:pPr>
    </w:p>
    <w:p>
      <w:pPr>
        <w:ind w:left="278"/>
        <w:spacing w:after="0"/>
        <w:rPr>
          <w:rFonts w:ascii="Arial" w:cs="Arial" w:eastAsia="Arial" w:hAnsi="Arial"/>
          <w:sz w:val="29"/>
          <w:szCs w:val="29"/>
          <w:color w:val="auto"/>
          <w:vertAlign w:val="superscript"/>
        </w:rPr>
      </w:pPr>
      <w:r>
        <w:rPr>
          <w:rFonts w:ascii="Arial" w:cs="Arial" w:eastAsia="Arial" w:hAnsi="Arial"/>
          <w:sz w:val="18"/>
          <w:szCs w:val="18"/>
          <w:b w:val="1"/>
          <w:bCs w:val="1"/>
          <w:color w:val="auto"/>
        </w:rPr>
        <w:t>Article 14</w:t>
      </w:r>
    </w:p>
    <w:p>
      <w:pPr>
        <w:spacing w:after="0" w:line="106" w:lineRule="exact"/>
        <w:rPr>
          <w:sz w:val="20"/>
          <w:szCs w:val="20"/>
          <w:color w:val="auto"/>
        </w:rPr>
      </w:pPr>
    </w:p>
    <w:p>
      <w:pPr>
        <w:sectPr>
          <w:pgSz w:w="11900" w:h="16838" w:orient="portrait"/>
          <w:cols w:equalWidth="0" w:num="2">
            <w:col w:w="4982" w:space="720"/>
            <w:col w:w="3618"/>
          </w:cols>
          <w:pgMar w:left="1220" w:top="670" w:right="1359" w:bottom="1440" w:gutter="0" w:footer="0" w:header="0"/>
          <w:type w:val="continuous"/>
        </w:sectPr>
      </w:pPr>
    </w:p>
    <w:tbl>
      <w:tblPr>
        <w:tblLayout w:type="fixed"/>
        <w:tblInd w:w="0" w:type="dxa"/>
        <w:tblCellMar>
          <w:top w:w="0" w:type="dxa"/>
          <w:left w:w="0" w:type="dxa"/>
          <w:bottom w:w="0" w:type="dxa"/>
          <w:right w:w="0" w:type="dxa"/>
        </w:tblCellMar>
      </w:tblPr>
      <w:tr>
        <w:trPr>
          <w:trHeight w:val="322"/>
        </w:trPr>
        <w:tc>
          <w:tcPr>
            <w:tcW w:w="4800" w:type="dxa"/>
            <w:vAlign w:val="bottom"/>
          </w:tcPr>
          <w:p>
            <w:pPr>
              <w:spacing w:after="0"/>
              <w:rPr>
                <w:sz w:val="20"/>
                <w:szCs w:val="20"/>
                <w:color w:val="auto"/>
              </w:rPr>
            </w:pPr>
            <w:r>
              <w:rPr>
                <w:rFonts w:ascii="Arial" w:cs="Arial" w:eastAsia="Arial" w:hAnsi="Arial"/>
                <w:sz w:val="28"/>
                <w:szCs w:val="28"/>
                <w:color w:val="auto"/>
                <w:vertAlign w:val="superscript"/>
              </w:rPr>
              <w:t>Traktandierung  1</w:t>
            </w:r>
            <w:r>
              <w:rPr>
                <w:rFonts w:ascii="Arial" w:cs="Arial" w:eastAsia="Arial" w:hAnsi="Arial"/>
                <w:sz w:val="18"/>
                <w:szCs w:val="18"/>
                <w:color w:val="auto"/>
              </w:rPr>
              <w:t xml:space="preserve">  Jeder Aktionär kann die Traktandierung</w:t>
            </w:r>
          </w:p>
        </w:tc>
        <w:tc>
          <w:tcPr>
            <w:tcW w:w="740" w:type="dxa"/>
            <w:vAlign w:val="bottom"/>
          </w:tcPr>
          <w:p>
            <w:pPr>
              <w:ind w:left="60"/>
              <w:spacing w:after="0"/>
              <w:rPr>
                <w:sz w:val="20"/>
                <w:szCs w:val="20"/>
                <w:color w:val="auto"/>
              </w:rPr>
            </w:pPr>
            <w:r>
              <w:rPr>
                <w:rFonts w:ascii="Arial" w:cs="Arial" w:eastAsia="Arial" w:hAnsi="Arial"/>
                <w:sz w:val="14"/>
                <w:szCs w:val="14"/>
                <w:color w:val="auto"/>
              </w:rPr>
              <w:t>Agenda</w:t>
            </w:r>
          </w:p>
        </w:tc>
        <w:tc>
          <w:tcPr>
            <w:tcW w:w="3780" w:type="dxa"/>
            <w:vAlign w:val="bottom"/>
          </w:tcPr>
          <w:p>
            <w:pPr>
              <w:ind w:left="160"/>
              <w:spacing w:after="0"/>
              <w:rPr>
                <w:sz w:val="20"/>
                <w:szCs w:val="20"/>
                <w:color w:val="auto"/>
              </w:rPr>
            </w:pPr>
            <w:r>
              <w:rPr>
                <w:rFonts w:ascii="Arial" w:cs="Arial" w:eastAsia="Arial" w:hAnsi="Arial"/>
                <w:sz w:val="28"/>
                <w:szCs w:val="28"/>
                <w:color w:val="auto"/>
                <w:vertAlign w:val="superscript"/>
              </w:rPr>
              <w:t>1</w:t>
            </w:r>
            <w:r>
              <w:rPr>
                <w:rFonts w:ascii="Arial" w:cs="Arial" w:eastAsia="Arial" w:hAnsi="Arial"/>
                <w:sz w:val="18"/>
                <w:szCs w:val="18"/>
                <w:color w:val="auto"/>
              </w:rPr>
              <w:t xml:space="preserve">   Any shareholder may request that an item</w:t>
            </w:r>
          </w:p>
        </w:tc>
      </w:tr>
      <w:tr>
        <w:trPr>
          <w:trHeight w:val="203"/>
        </w:trPr>
        <w:tc>
          <w:tcPr>
            <w:tcW w:w="4800" w:type="dxa"/>
            <w:vAlign w:val="bottom"/>
          </w:tcPr>
          <w:p>
            <w:pPr>
              <w:ind w:left="1340"/>
              <w:spacing w:after="0" w:line="202" w:lineRule="exact"/>
              <w:rPr>
                <w:sz w:val="20"/>
                <w:szCs w:val="20"/>
                <w:color w:val="auto"/>
              </w:rPr>
            </w:pPr>
            <w:r>
              <w:rPr>
                <w:rFonts w:ascii="Arial" w:cs="Arial" w:eastAsia="Arial" w:hAnsi="Arial"/>
                <w:sz w:val="18"/>
                <w:szCs w:val="18"/>
                <w:color w:val="auto"/>
              </w:rPr>
              <w:t>eines Verhandlungsgegenstandes</w:t>
            </w:r>
          </w:p>
        </w:tc>
        <w:tc>
          <w:tcPr>
            <w:tcW w:w="740" w:type="dxa"/>
            <w:vAlign w:val="bottom"/>
          </w:tcPr>
          <w:p>
            <w:pPr>
              <w:spacing w:after="0"/>
              <w:rPr>
                <w:sz w:val="17"/>
                <w:szCs w:val="17"/>
                <w:color w:val="auto"/>
              </w:rPr>
            </w:pPr>
          </w:p>
        </w:tc>
        <w:tc>
          <w:tcPr>
            <w:tcW w:w="3780" w:type="dxa"/>
            <w:vAlign w:val="bottom"/>
          </w:tcPr>
          <w:p>
            <w:pPr>
              <w:ind w:left="440"/>
              <w:spacing w:after="0" w:line="202" w:lineRule="exact"/>
              <w:rPr>
                <w:sz w:val="20"/>
                <w:szCs w:val="20"/>
                <w:color w:val="auto"/>
              </w:rPr>
            </w:pPr>
            <w:r>
              <w:rPr>
                <w:rFonts w:ascii="Arial" w:cs="Arial" w:eastAsia="Arial" w:hAnsi="Arial"/>
                <w:sz w:val="18"/>
                <w:szCs w:val="18"/>
                <w:color w:val="auto"/>
              </w:rPr>
              <w:t>be included on the agenda of a General</w:t>
            </w:r>
          </w:p>
        </w:tc>
      </w:tr>
      <w:tr>
        <w:trPr>
          <w:trHeight w:val="203"/>
        </w:trPr>
        <w:tc>
          <w:tcPr>
            <w:tcW w:w="4800" w:type="dxa"/>
            <w:vAlign w:val="bottom"/>
          </w:tcPr>
          <w:p>
            <w:pPr>
              <w:ind w:left="1340"/>
              <w:spacing w:after="0" w:line="202" w:lineRule="exact"/>
              <w:rPr>
                <w:sz w:val="20"/>
                <w:szCs w:val="20"/>
                <w:color w:val="auto"/>
              </w:rPr>
            </w:pPr>
            <w:r>
              <w:rPr>
                <w:rFonts w:ascii="Arial" w:cs="Arial" w:eastAsia="Arial" w:hAnsi="Arial"/>
                <w:sz w:val="18"/>
                <w:szCs w:val="18"/>
                <w:color w:val="auto"/>
              </w:rPr>
              <w:t>verlangen. Das Traktandierungsbegehren</w:t>
            </w:r>
          </w:p>
        </w:tc>
        <w:tc>
          <w:tcPr>
            <w:tcW w:w="740" w:type="dxa"/>
            <w:vAlign w:val="bottom"/>
          </w:tcPr>
          <w:p>
            <w:pPr>
              <w:spacing w:after="0"/>
              <w:rPr>
                <w:sz w:val="17"/>
                <w:szCs w:val="17"/>
                <w:color w:val="auto"/>
              </w:rPr>
            </w:pPr>
          </w:p>
        </w:tc>
        <w:tc>
          <w:tcPr>
            <w:tcW w:w="3780" w:type="dxa"/>
            <w:vAlign w:val="bottom"/>
          </w:tcPr>
          <w:p>
            <w:pPr>
              <w:ind w:left="440"/>
              <w:spacing w:after="0" w:line="202" w:lineRule="exact"/>
              <w:rPr>
                <w:sz w:val="20"/>
                <w:szCs w:val="20"/>
                <w:color w:val="auto"/>
              </w:rPr>
            </w:pPr>
            <w:r>
              <w:rPr>
                <w:rFonts w:ascii="Arial" w:cs="Arial" w:eastAsia="Arial" w:hAnsi="Arial"/>
                <w:sz w:val="18"/>
                <w:szCs w:val="18"/>
                <w:color w:val="auto"/>
              </w:rPr>
              <w:t>Meeting of Shareholders. An inclusion of</w:t>
            </w:r>
          </w:p>
        </w:tc>
      </w:tr>
      <w:tr>
        <w:trPr>
          <w:trHeight w:val="203"/>
        </w:trPr>
        <w:tc>
          <w:tcPr>
            <w:tcW w:w="4800" w:type="dxa"/>
            <w:vAlign w:val="bottom"/>
          </w:tcPr>
          <w:p>
            <w:pPr>
              <w:ind w:left="1340"/>
              <w:spacing w:after="0" w:line="202" w:lineRule="exact"/>
              <w:rPr>
                <w:sz w:val="20"/>
                <w:szCs w:val="20"/>
                <w:color w:val="auto"/>
              </w:rPr>
            </w:pPr>
            <w:r>
              <w:rPr>
                <w:rFonts w:ascii="Arial" w:cs="Arial" w:eastAsia="Arial" w:hAnsi="Arial"/>
                <w:sz w:val="18"/>
                <w:szCs w:val="18"/>
                <w:color w:val="auto"/>
              </w:rPr>
              <w:t>muss mindestens 30 Kalendertage vor</w:t>
            </w:r>
          </w:p>
        </w:tc>
        <w:tc>
          <w:tcPr>
            <w:tcW w:w="740" w:type="dxa"/>
            <w:vAlign w:val="bottom"/>
          </w:tcPr>
          <w:p>
            <w:pPr>
              <w:spacing w:after="0"/>
              <w:rPr>
                <w:sz w:val="17"/>
                <w:szCs w:val="17"/>
                <w:color w:val="auto"/>
              </w:rPr>
            </w:pPr>
          </w:p>
        </w:tc>
        <w:tc>
          <w:tcPr>
            <w:tcW w:w="3780" w:type="dxa"/>
            <w:vAlign w:val="bottom"/>
          </w:tcPr>
          <w:p>
            <w:pPr>
              <w:ind w:left="440"/>
              <w:spacing w:after="0" w:line="202" w:lineRule="exact"/>
              <w:rPr>
                <w:sz w:val="20"/>
                <w:szCs w:val="20"/>
                <w:color w:val="auto"/>
              </w:rPr>
            </w:pPr>
            <w:r>
              <w:rPr>
                <w:rFonts w:ascii="Arial" w:cs="Arial" w:eastAsia="Arial" w:hAnsi="Arial"/>
                <w:sz w:val="18"/>
                <w:szCs w:val="18"/>
                <w:color w:val="auto"/>
                <w:w w:val="99"/>
              </w:rPr>
              <w:t>an item on the agenda must be requested</w:t>
            </w:r>
          </w:p>
        </w:tc>
      </w:tr>
      <w:tr>
        <w:trPr>
          <w:trHeight w:val="203"/>
        </w:trPr>
        <w:tc>
          <w:tcPr>
            <w:tcW w:w="4800" w:type="dxa"/>
            <w:vAlign w:val="bottom"/>
          </w:tcPr>
          <w:p>
            <w:pPr>
              <w:ind w:left="1340"/>
              <w:spacing w:after="0" w:line="202" w:lineRule="exact"/>
              <w:rPr>
                <w:sz w:val="20"/>
                <w:szCs w:val="20"/>
                <w:color w:val="auto"/>
              </w:rPr>
            </w:pPr>
            <w:r>
              <w:rPr>
                <w:rFonts w:ascii="Arial" w:cs="Arial" w:eastAsia="Arial" w:hAnsi="Arial"/>
                <w:sz w:val="18"/>
                <w:szCs w:val="18"/>
                <w:color w:val="auto"/>
              </w:rPr>
              <w:t>dem Jahrestag des sog. Proxy Statements</w:t>
            </w:r>
          </w:p>
        </w:tc>
        <w:tc>
          <w:tcPr>
            <w:tcW w:w="740" w:type="dxa"/>
            <w:vAlign w:val="bottom"/>
          </w:tcPr>
          <w:p>
            <w:pPr>
              <w:spacing w:after="0"/>
              <w:rPr>
                <w:sz w:val="17"/>
                <w:szCs w:val="17"/>
                <w:color w:val="auto"/>
              </w:rPr>
            </w:pPr>
          </w:p>
        </w:tc>
        <w:tc>
          <w:tcPr>
            <w:tcW w:w="3780" w:type="dxa"/>
            <w:vAlign w:val="bottom"/>
          </w:tcPr>
          <w:p>
            <w:pPr>
              <w:ind w:left="440"/>
              <w:spacing w:after="0" w:line="202" w:lineRule="exact"/>
              <w:rPr>
                <w:sz w:val="20"/>
                <w:szCs w:val="20"/>
                <w:color w:val="auto"/>
              </w:rPr>
            </w:pPr>
            <w:r>
              <w:rPr>
                <w:rFonts w:ascii="Arial" w:cs="Arial" w:eastAsia="Arial" w:hAnsi="Arial"/>
                <w:sz w:val="18"/>
                <w:szCs w:val="18"/>
                <w:color w:val="auto"/>
              </w:rPr>
              <w:t>in writing at least 30 calendar days prior</w:t>
            </w:r>
          </w:p>
        </w:tc>
      </w:tr>
      <w:tr>
        <w:trPr>
          <w:trHeight w:val="203"/>
        </w:trPr>
        <w:tc>
          <w:tcPr>
            <w:tcW w:w="4800" w:type="dxa"/>
            <w:vAlign w:val="bottom"/>
          </w:tcPr>
          <w:p>
            <w:pPr>
              <w:ind w:left="1340"/>
              <w:spacing w:after="0" w:line="202" w:lineRule="exact"/>
              <w:rPr>
                <w:sz w:val="20"/>
                <w:szCs w:val="20"/>
                <w:color w:val="auto"/>
              </w:rPr>
            </w:pPr>
            <w:r>
              <w:rPr>
                <w:rFonts w:ascii="Arial" w:cs="Arial" w:eastAsia="Arial" w:hAnsi="Arial"/>
                <w:sz w:val="18"/>
                <w:szCs w:val="18"/>
                <w:color w:val="auto"/>
              </w:rPr>
              <w:t>der Gesellschaft, das im Zusammenhang</w:t>
            </w:r>
          </w:p>
        </w:tc>
        <w:tc>
          <w:tcPr>
            <w:tcW w:w="740" w:type="dxa"/>
            <w:vAlign w:val="bottom"/>
          </w:tcPr>
          <w:p>
            <w:pPr>
              <w:spacing w:after="0"/>
              <w:rPr>
                <w:sz w:val="17"/>
                <w:szCs w:val="17"/>
                <w:color w:val="auto"/>
              </w:rPr>
            </w:pPr>
          </w:p>
        </w:tc>
        <w:tc>
          <w:tcPr>
            <w:tcW w:w="3780" w:type="dxa"/>
            <w:vAlign w:val="bottom"/>
          </w:tcPr>
          <w:p>
            <w:pPr>
              <w:ind w:left="440"/>
              <w:spacing w:after="0" w:line="202" w:lineRule="exact"/>
              <w:rPr>
                <w:sz w:val="20"/>
                <w:szCs w:val="20"/>
                <w:color w:val="auto"/>
              </w:rPr>
            </w:pPr>
            <w:r>
              <w:rPr>
                <w:rFonts w:ascii="Arial" w:cs="Arial" w:eastAsia="Arial" w:hAnsi="Arial"/>
                <w:sz w:val="18"/>
                <w:szCs w:val="18"/>
                <w:color w:val="auto"/>
              </w:rPr>
              <w:t>to the anniversary date of the Company's</w:t>
            </w:r>
          </w:p>
        </w:tc>
      </w:tr>
      <w:tr>
        <w:trPr>
          <w:trHeight w:val="203"/>
        </w:trPr>
        <w:tc>
          <w:tcPr>
            <w:tcW w:w="4800" w:type="dxa"/>
            <w:vAlign w:val="bottom"/>
          </w:tcPr>
          <w:p>
            <w:pPr>
              <w:ind w:left="1340"/>
              <w:spacing w:after="0" w:line="202" w:lineRule="exact"/>
              <w:rPr>
                <w:sz w:val="20"/>
                <w:szCs w:val="20"/>
                <w:color w:val="auto"/>
              </w:rPr>
            </w:pPr>
            <w:r>
              <w:rPr>
                <w:rFonts w:ascii="Arial" w:cs="Arial" w:eastAsia="Arial" w:hAnsi="Arial"/>
                <w:sz w:val="18"/>
                <w:szCs w:val="18"/>
                <w:color w:val="auto"/>
              </w:rPr>
              <w:t>mit der Generalversammlung im</w:t>
            </w:r>
          </w:p>
        </w:tc>
        <w:tc>
          <w:tcPr>
            <w:tcW w:w="740" w:type="dxa"/>
            <w:vAlign w:val="bottom"/>
          </w:tcPr>
          <w:p>
            <w:pPr>
              <w:spacing w:after="0"/>
              <w:rPr>
                <w:sz w:val="17"/>
                <w:szCs w:val="17"/>
                <w:color w:val="auto"/>
              </w:rPr>
            </w:pPr>
          </w:p>
        </w:tc>
        <w:tc>
          <w:tcPr>
            <w:tcW w:w="3780" w:type="dxa"/>
            <w:vAlign w:val="bottom"/>
          </w:tcPr>
          <w:p>
            <w:pPr>
              <w:ind w:left="440"/>
              <w:spacing w:after="0" w:line="202" w:lineRule="exact"/>
              <w:rPr>
                <w:sz w:val="20"/>
                <w:szCs w:val="20"/>
                <w:color w:val="auto"/>
              </w:rPr>
            </w:pPr>
            <w:r>
              <w:rPr>
                <w:rFonts w:ascii="Arial" w:cs="Arial" w:eastAsia="Arial" w:hAnsi="Arial"/>
                <w:sz w:val="18"/>
                <w:szCs w:val="18"/>
                <w:color w:val="auto"/>
              </w:rPr>
              <w:t>proxy statement in connection with the</w:t>
            </w:r>
          </w:p>
        </w:tc>
      </w:tr>
      <w:tr>
        <w:trPr>
          <w:trHeight w:val="203"/>
        </w:trPr>
        <w:tc>
          <w:tcPr>
            <w:tcW w:w="4800" w:type="dxa"/>
            <w:vAlign w:val="bottom"/>
          </w:tcPr>
          <w:p>
            <w:pPr>
              <w:ind w:left="1340"/>
              <w:spacing w:after="0" w:line="202" w:lineRule="exact"/>
              <w:rPr>
                <w:sz w:val="20"/>
                <w:szCs w:val="20"/>
                <w:color w:val="auto"/>
              </w:rPr>
            </w:pPr>
            <w:r>
              <w:rPr>
                <w:rFonts w:ascii="Arial" w:cs="Arial" w:eastAsia="Arial" w:hAnsi="Arial"/>
                <w:sz w:val="18"/>
                <w:szCs w:val="18"/>
                <w:color w:val="auto"/>
              </w:rPr>
              <w:t>jeweiligen Vorjahr veröffentlicht und</w:t>
            </w:r>
          </w:p>
        </w:tc>
        <w:tc>
          <w:tcPr>
            <w:tcW w:w="740" w:type="dxa"/>
            <w:vAlign w:val="bottom"/>
          </w:tcPr>
          <w:p>
            <w:pPr>
              <w:spacing w:after="0"/>
              <w:rPr>
                <w:sz w:val="17"/>
                <w:szCs w:val="17"/>
                <w:color w:val="auto"/>
              </w:rPr>
            </w:pPr>
          </w:p>
        </w:tc>
        <w:tc>
          <w:tcPr>
            <w:tcW w:w="3780" w:type="dxa"/>
            <w:vAlign w:val="bottom"/>
          </w:tcPr>
          <w:p>
            <w:pPr>
              <w:ind w:left="440"/>
              <w:spacing w:after="0" w:line="202" w:lineRule="exact"/>
              <w:rPr>
                <w:sz w:val="20"/>
                <w:szCs w:val="20"/>
                <w:color w:val="auto"/>
              </w:rPr>
            </w:pPr>
            <w:r>
              <w:rPr>
                <w:rFonts w:ascii="Arial" w:cs="Arial" w:eastAsia="Arial" w:hAnsi="Arial"/>
                <w:sz w:val="18"/>
                <w:szCs w:val="18"/>
                <w:color w:val="auto"/>
              </w:rPr>
              <w:t>previous year's General Meeting of</w:t>
            </w:r>
          </w:p>
        </w:tc>
      </w:tr>
      <w:tr>
        <w:trPr>
          <w:trHeight w:val="203"/>
        </w:trPr>
        <w:tc>
          <w:tcPr>
            <w:tcW w:w="4800" w:type="dxa"/>
            <w:vAlign w:val="bottom"/>
          </w:tcPr>
          <w:p>
            <w:pPr>
              <w:ind w:left="1340"/>
              <w:spacing w:after="0" w:line="202" w:lineRule="exact"/>
              <w:rPr>
                <w:sz w:val="20"/>
                <w:szCs w:val="20"/>
                <w:color w:val="auto"/>
              </w:rPr>
            </w:pPr>
            <w:r>
              <w:rPr>
                <w:rFonts w:ascii="Arial" w:cs="Arial" w:eastAsia="Arial" w:hAnsi="Arial"/>
                <w:sz w:val="18"/>
                <w:szCs w:val="18"/>
                <w:color w:val="auto"/>
              </w:rPr>
              <w:t>gemäss den anwendbaren SEC Regeln</w:t>
            </w:r>
          </w:p>
        </w:tc>
        <w:tc>
          <w:tcPr>
            <w:tcW w:w="740" w:type="dxa"/>
            <w:vAlign w:val="bottom"/>
          </w:tcPr>
          <w:p>
            <w:pPr>
              <w:spacing w:after="0"/>
              <w:rPr>
                <w:sz w:val="17"/>
                <w:szCs w:val="17"/>
                <w:color w:val="auto"/>
              </w:rPr>
            </w:pPr>
          </w:p>
        </w:tc>
        <w:tc>
          <w:tcPr>
            <w:tcW w:w="3780" w:type="dxa"/>
            <w:vAlign w:val="bottom"/>
          </w:tcPr>
          <w:p>
            <w:pPr>
              <w:ind w:left="440"/>
              <w:spacing w:after="0" w:line="202" w:lineRule="exact"/>
              <w:rPr>
                <w:sz w:val="20"/>
                <w:szCs w:val="20"/>
                <w:color w:val="auto"/>
              </w:rPr>
            </w:pPr>
            <w:r>
              <w:rPr>
                <w:rFonts w:ascii="Arial" w:cs="Arial" w:eastAsia="Arial" w:hAnsi="Arial"/>
                <w:sz w:val="18"/>
                <w:szCs w:val="18"/>
                <w:color w:val="auto"/>
              </w:rPr>
              <w:t>Shareholders, as filed with the SEC</w:t>
            </w:r>
          </w:p>
        </w:tc>
      </w:tr>
      <w:tr>
        <w:trPr>
          <w:trHeight w:val="203"/>
        </w:trPr>
        <w:tc>
          <w:tcPr>
            <w:tcW w:w="4800" w:type="dxa"/>
            <w:vAlign w:val="bottom"/>
          </w:tcPr>
          <w:p>
            <w:pPr>
              <w:ind w:left="1340"/>
              <w:spacing w:after="0" w:line="202" w:lineRule="exact"/>
              <w:rPr>
                <w:sz w:val="20"/>
                <w:szCs w:val="20"/>
                <w:color w:val="auto"/>
              </w:rPr>
            </w:pPr>
            <w:r>
              <w:rPr>
                <w:rFonts w:ascii="Arial" w:cs="Arial" w:eastAsia="Arial" w:hAnsi="Arial"/>
                <w:sz w:val="18"/>
                <w:szCs w:val="18"/>
                <w:color w:val="auto"/>
              </w:rPr>
              <w:t>bei der SEC eingereicht wurde, schriftlich</w:t>
            </w:r>
          </w:p>
        </w:tc>
        <w:tc>
          <w:tcPr>
            <w:tcW w:w="740" w:type="dxa"/>
            <w:vAlign w:val="bottom"/>
          </w:tcPr>
          <w:p>
            <w:pPr>
              <w:spacing w:after="0"/>
              <w:rPr>
                <w:sz w:val="17"/>
                <w:szCs w:val="17"/>
                <w:color w:val="auto"/>
              </w:rPr>
            </w:pPr>
          </w:p>
        </w:tc>
        <w:tc>
          <w:tcPr>
            <w:tcW w:w="3780" w:type="dxa"/>
            <w:vAlign w:val="bottom"/>
          </w:tcPr>
          <w:p>
            <w:pPr>
              <w:ind w:left="440"/>
              <w:spacing w:after="0" w:line="202" w:lineRule="exact"/>
              <w:rPr>
                <w:sz w:val="20"/>
                <w:szCs w:val="20"/>
                <w:color w:val="auto"/>
              </w:rPr>
            </w:pPr>
            <w:r>
              <w:rPr>
                <w:rFonts w:ascii="Arial" w:cs="Arial" w:eastAsia="Arial" w:hAnsi="Arial"/>
                <w:sz w:val="18"/>
                <w:szCs w:val="18"/>
                <w:color w:val="auto"/>
              </w:rPr>
              <w:t>pursuant to the applicable rules of the</w:t>
            </w:r>
          </w:p>
        </w:tc>
      </w:tr>
      <w:tr>
        <w:trPr>
          <w:trHeight w:val="203"/>
        </w:trPr>
        <w:tc>
          <w:tcPr>
            <w:tcW w:w="4800" w:type="dxa"/>
            <w:vAlign w:val="bottom"/>
          </w:tcPr>
          <w:p>
            <w:pPr>
              <w:ind w:left="1340"/>
              <w:spacing w:after="0" w:line="202" w:lineRule="exact"/>
              <w:rPr>
                <w:sz w:val="20"/>
                <w:szCs w:val="20"/>
                <w:color w:val="auto"/>
              </w:rPr>
            </w:pPr>
            <w:r>
              <w:rPr>
                <w:rFonts w:ascii="Arial" w:cs="Arial" w:eastAsia="Arial" w:hAnsi="Arial"/>
                <w:sz w:val="18"/>
                <w:szCs w:val="18"/>
                <w:color w:val="auto"/>
              </w:rPr>
              <w:t>unter Angabe des</w:t>
            </w:r>
          </w:p>
        </w:tc>
        <w:tc>
          <w:tcPr>
            <w:tcW w:w="740" w:type="dxa"/>
            <w:vAlign w:val="bottom"/>
          </w:tcPr>
          <w:p>
            <w:pPr>
              <w:spacing w:after="0"/>
              <w:rPr>
                <w:sz w:val="17"/>
                <w:szCs w:val="17"/>
                <w:color w:val="auto"/>
              </w:rPr>
            </w:pPr>
          </w:p>
        </w:tc>
        <w:tc>
          <w:tcPr>
            <w:tcW w:w="3780" w:type="dxa"/>
            <w:vAlign w:val="bottom"/>
          </w:tcPr>
          <w:p>
            <w:pPr>
              <w:ind w:left="440"/>
              <w:spacing w:after="0" w:line="202" w:lineRule="exact"/>
              <w:rPr>
                <w:sz w:val="20"/>
                <w:szCs w:val="20"/>
                <w:color w:val="auto"/>
              </w:rPr>
            </w:pPr>
            <w:r>
              <w:rPr>
                <w:rFonts w:ascii="Arial" w:cs="Arial" w:eastAsia="Arial" w:hAnsi="Arial"/>
                <w:sz w:val="18"/>
                <w:szCs w:val="18"/>
                <w:color w:val="auto"/>
              </w:rPr>
              <w:t>SEC, and shall specify in writing the</w:t>
            </w:r>
          </w:p>
        </w:tc>
      </w:tr>
      <w:tr>
        <w:trPr>
          <w:trHeight w:val="203"/>
        </w:trPr>
        <w:tc>
          <w:tcPr>
            <w:tcW w:w="4800" w:type="dxa"/>
            <w:vAlign w:val="bottom"/>
          </w:tcPr>
          <w:p>
            <w:pPr>
              <w:ind w:left="1340"/>
              <w:spacing w:after="0" w:line="202" w:lineRule="exact"/>
              <w:rPr>
                <w:sz w:val="20"/>
                <w:szCs w:val="20"/>
                <w:color w:val="auto"/>
              </w:rPr>
            </w:pPr>
            <w:r>
              <w:rPr>
                <w:rFonts w:ascii="Arial" w:cs="Arial" w:eastAsia="Arial" w:hAnsi="Arial"/>
                <w:sz w:val="18"/>
                <w:szCs w:val="18"/>
                <w:color w:val="auto"/>
              </w:rPr>
              <w:t>Verhandlungsgegenstandes und der</w:t>
            </w:r>
          </w:p>
        </w:tc>
        <w:tc>
          <w:tcPr>
            <w:tcW w:w="740" w:type="dxa"/>
            <w:vAlign w:val="bottom"/>
          </w:tcPr>
          <w:p>
            <w:pPr>
              <w:spacing w:after="0"/>
              <w:rPr>
                <w:sz w:val="17"/>
                <w:szCs w:val="17"/>
                <w:color w:val="auto"/>
              </w:rPr>
            </w:pPr>
          </w:p>
        </w:tc>
        <w:tc>
          <w:tcPr>
            <w:tcW w:w="3780" w:type="dxa"/>
            <w:vAlign w:val="bottom"/>
          </w:tcPr>
          <w:p>
            <w:pPr>
              <w:ind w:left="440"/>
              <w:spacing w:after="0" w:line="202" w:lineRule="exact"/>
              <w:rPr>
                <w:sz w:val="20"/>
                <w:szCs w:val="20"/>
                <w:color w:val="auto"/>
              </w:rPr>
            </w:pPr>
            <w:r>
              <w:rPr>
                <w:rFonts w:ascii="Arial" w:cs="Arial" w:eastAsia="Arial" w:hAnsi="Arial"/>
                <w:sz w:val="18"/>
                <w:szCs w:val="18"/>
                <w:color w:val="auto"/>
              </w:rPr>
              <w:t>relevant agenda items and proposals,</w:t>
            </w:r>
          </w:p>
        </w:tc>
      </w:tr>
      <w:tr>
        <w:trPr>
          <w:trHeight w:val="203"/>
        </w:trPr>
        <w:tc>
          <w:tcPr>
            <w:tcW w:w="4800" w:type="dxa"/>
            <w:vAlign w:val="bottom"/>
          </w:tcPr>
          <w:p>
            <w:pPr>
              <w:ind w:left="1340"/>
              <w:spacing w:after="0" w:line="202" w:lineRule="exact"/>
              <w:rPr>
                <w:sz w:val="20"/>
                <w:szCs w:val="20"/>
                <w:color w:val="auto"/>
              </w:rPr>
            </w:pPr>
            <w:r>
              <w:rPr>
                <w:rFonts w:ascii="Arial" w:cs="Arial" w:eastAsia="Arial" w:hAnsi="Arial"/>
                <w:sz w:val="18"/>
                <w:szCs w:val="18"/>
                <w:color w:val="auto"/>
              </w:rPr>
              <w:t>Anträge sowie unter Nachweis der</w:t>
            </w:r>
          </w:p>
        </w:tc>
        <w:tc>
          <w:tcPr>
            <w:tcW w:w="740" w:type="dxa"/>
            <w:vAlign w:val="bottom"/>
          </w:tcPr>
          <w:p>
            <w:pPr>
              <w:spacing w:after="0"/>
              <w:rPr>
                <w:sz w:val="17"/>
                <w:szCs w:val="17"/>
                <w:color w:val="auto"/>
              </w:rPr>
            </w:pPr>
          </w:p>
        </w:tc>
        <w:tc>
          <w:tcPr>
            <w:tcW w:w="3780" w:type="dxa"/>
            <w:vAlign w:val="bottom"/>
          </w:tcPr>
          <w:p>
            <w:pPr>
              <w:ind w:left="440"/>
              <w:spacing w:after="0" w:line="202" w:lineRule="exact"/>
              <w:rPr>
                <w:sz w:val="20"/>
                <w:szCs w:val="20"/>
                <w:color w:val="auto"/>
              </w:rPr>
            </w:pPr>
            <w:r>
              <w:rPr>
                <w:rFonts w:ascii="Arial" w:cs="Arial" w:eastAsia="Arial" w:hAnsi="Arial"/>
                <w:sz w:val="18"/>
                <w:szCs w:val="18"/>
                <w:color w:val="auto"/>
              </w:rPr>
              <w:t>together with evidence of the required</w:t>
            </w:r>
          </w:p>
        </w:tc>
      </w:tr>
      <w:tr>
        <w:trPr>
          <w:trHeight w:val="203"/>
        </w:trPr>
        <w:tc>
          <w:tcPr>
            <w:tcW w:w="4800" w:type="dxa"/>
            <w:vAlign w:val="bottom"/>
          </w:tcPr>
          <w:p>
            <w:pPr>
              <w:ind w:left="1340"/>
              <w:spacing w:after="0" w:line="202" w:lineRule="exact"/>
              <w:rPr>
                <w:sz w:val="20"/>
                <w:szCs w:val="20"/>
                <w:color w:val="auto"/>
              </w:rPr>
            </w:pPr>
            <w:r>
              <w:rPr>
                <w:rFonts w:ascii="Arial" w:cs="Arial" w:eastAsia="Arial" w:hAnsi="Arial"/>
                <w:sz w:val="18"/>
                <w:szCs w:val="18"/>
                <w:color w:val="auto"/>
              </w:rPr>
              <w:t>erforderlichen Anzahl im Aktienbuch</w:t>
            </w:r>
          </w:p>
        </w:tc>
        <w:tc>
          <w:tcPr>
            <w:tcW w:w="740" w:type="dxa"/>
            <w:vAlign w:val="bottom"/>
          </w:tcPr>
          <w:p>
            <w:pPr>
              <w:spacing w:after="0"/>
              <w:rPr>
                <w:sz w:val="17"/>
                <w:szCs w:val="17"/>
                <w:color w:val="auto"/>
              </w:rPr>
            </w:pPr>
          </w:p>
        </w:tc>
        <w:tc>
          <w:tcPr>
            <w:tcW w:w="3780" w:type="dxa"/>
            <w:vAlign w:val="bottom"/>
          </w:tcPr>
          <w:p>
            <w:pPr>
              <w:ind w:left="440"/>
              <w:spacing w:after="0" w:line="202" w:lineRule="exact"/>
              <w:rPr>
                <w:sz w:val="20"/>
                <w:szCs w:val="20"/>
                <w:color w:val="auto"/>
              </w:rPr>
            </w:pPr>
            <w:r>
              <w:rPr>
                <w:rFonts w:ascii="Arial" w:cs="Arial" w:eastAsia="Arial" w:hAnsi="Arial"/>
                <w:sz w:val="18"/>
                <w:szCs w:val="18"/>
                <w:color w:val="auto"/>
              </w:rPr>
              <w:t>shareholdings recorded in the share</w:t>
            </w:r>
          </w:p>
        </w:tc>
      </w:tr>
      <w:tr>
        <w:trPr>
          <w:trHeight w:val="203"/>
        </w:trPr>
        <w:tc>
          <w:tcPr>
            <w:tcW w:w="4800" w:type="dxa"/>
            <w:vAlign w:val="bottom"/>
          </w:tcPr>
          <w:p>
            <w:pPr>
              <w:ind w:left="1340"/>
              <w:spacing w:after="0" w:line="202" w:lineRule="exact"/>
              <w:rPr>
                <w:sz w:val="20"/>
                <w:szCs w:val="20"/>
                <w:color w:val="auto"/>
              </w:rPr>
            </w:pPr>
            <w:r>
              <w:rPr>
                <w:rFonts w:ascii="Arial" w:cs="Arial" w:eastAsia="Arial" w:hAnsi="Arial"/>
                <w:sz w:val="18"/>
                <w:szCs w:val="18"/>
                <w:color w:val="auto"/>
              </w:rPr>
              <w:t>eingetragenen Aktien eingereicht werden.</w:t>
            </w:r>
          </w:p>
        </w:tc>
        <w:tc>
          <w:tcPr>
            <w:tcW w:w="740" w:type="dxa"/>
            <w:vAlign w:val="bottom"/>
          </w:tcPr>
          <w:p>
            <w:pPr>
              <w:spacing w:after="0"/>
              <w:rPr>
                <w:sz w:val="17"/>
                <w:szCs w:val="17"/>
                <w:color w:val="auto"/>
              </w:rPr>
            </w:pPr>
          </w:p>
        </w:tc>
        <w:tc>
          <w:tcPr>
            <w:tcW w:w="3780" w:type="dxa"/>
            <w:vAlign w:val="bottom"/>
          </w:tcPr>
          <w:p>
            <w:pPr>
              <w:ind w:left="440"/>
              <w:spacing w:after="0" w:line="202" w:lineRule="exact"/>
              <w:rPr>
                <w:sz w:val="20"/>
                <w:szCs w:val="20"/>
                <w:color w:val="auto"/>
              </w:rPr>
            </w:pPr>
            <w:r>
              <w:rPr>
                <w:rFonts w:ascii="Arial" w:cs="Arial" w:eastAsia="Arial" w:hAnsi="Arial"/>
                <w:sz w:val="18"/>
                <w:szCs w:val="18"/>
                <w:color w:val="auto"/>
              </w:rPr>
              <w:t xml:space="preserve">register;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if the</w:t>
            </w:r>
          </w:p>
        </w:tc>
      </w:tr>
      <w:tr>
        <w:trPr>
          <w:trHeight w:val="203"/>
        </w:trPr>
        <w:tc>
          <w:tcPr>
            <w:tcW w:w="4800" w:type="dxa"/>
            <w:vAlign w:val="bottom"/>
          </w:tcPr>
          <w:p>
            <w:pPr>
              <w:ind w:left="1340"/>
              <w:spacing w:after="0" w:line="202" w:lineRule="exact"/>
              <w:rPr>
                <w:sz w:val="20"/>
                <w:szCs w:val="20"/>
                <w:color w:val="auto"/>
              </w:rPr>
            </w:pPr>
            <w:r>
              <w:rPr>
                <w:rFonts w:ascii="Arial" w:cs="Arial" w:eastAsia="Arial" w:hAnsi="Arial"/>
                <w:sz w:val="18"/>
                <w:szCs w:val="18"/>
                <w:color w:val="auto"/>
              </w:rPr>
              <w:t>Falls das Datum der anstehenden</w:t>
            </w:r>
          </w:p>
        </w:tc>
        <w:tc>
          <w:tcPr>
            <w:tcW w:w="740" w:type="dxa"/>
            <w:vAlign w:val="bottom"/>
          </w:tcPr>
          <w:p>
            <w:pPr>
              <w:spacing w:after="0"/>
              <w:rPr>
                <w:sz w:val="17"/>
                <w:szCs w:val="17"/>
                <w:color w:val="auto"/>
              </w:rPr>
            </w:pPr>
          </w:p>
        </w:tc>
        <w:tc>
          <w:tcPr>
            <w:tcW w:w="3780" w:type="dxa"/>
            <w:vAlign w:val="bottom"/>
          </w:tcPr>
          <w:p>
            <w:pPr>
              <w:ind w:left="440"/>
              <w:spacing w:after="0" w:line="202" w:lineRule="exact"/>
              <w:rPr>
                <w:sz w:val="20"/>
                <w:szCs w:val="20"/>
                <w:color w:val="auto"/>
              </w:rPr>
            </w:pPr>
            <w:r>
              <w:rPr>
                <w:rFonts w:ascii="Arial" w:cs="Arial" w:eastAsia="Arial" w:hAnsi="Arial"/>
                <w:sz w:val="18"/>
                <w:szCs w:val="18"/>
                <w:color w:val="auto"/>
              </w:rPr>
              <w:t>date of the General Meeting of</w:t>
            </w:r>
          </w:p>
        </w:tc>
      </w:tr>
      <w:tr>
        <w:trPr>
          <w:trHeight w:val="203"/>
        </w:trPr>
        <w:tc>
          <w:tcPr>
            <w:tcW w:w="4800" w:type="dxa"/>
            <w:vAlign w:val="bottom"/>
          </w:tcPr>
          <w:p>
            <w:pPr>
              <w:ind w:left="1340"/>
              <w:spacing w:after="0" w:line="202" w:lineRule="exact"/>
              <w:rPr>
                <w:sz w:val="20"/>
                <w:szCs w:val="20"/>
                <w:color w:val="auto"/>
              </w:rPr>
            </w:pPr>
            <w:r>
              <w:rPr>
                <w:rFonts w:ascii="Arial" w:cs="Arial" w:eastAsia="Arial" w:hAnsi="Arial"/>
                <w:sz w:val="18"/>
                <w:szCs w:val="18"/>
                <w:color w:val="auto"/>
              </w:rPr>
              <w:t>Generalversammlung mehr als 30</w:t>
            </w:r>
          </w:p>
        </w:tc>
        <w:tc>
          <w:tcPr>
            <w:tcW w:w="740" w:type="dxa"/>
            <w:vAlign w:val="bottom"/>
          </w:tcPr>
          <w:p>
            <w:pPr>
              <w:spacing w:after="0"/>
              <w:rPr>
                <w:sz w:val="17"/>
                <w:szCs w:val="17"/>
                <w:color w:val="auto"/>
              </w:rPr>
            </w:pPr>
          </w:p>
        </w:tc>
        <w:tc>
          <w:tcPr>
            <w:tcW w:w="3780" w:type="dxa"/>
            <w:vAlign w:val="bottom"/>
          </w:tcPr>
          <w:p>
            <w:pPr>
              <w:ind w:left="440"/>
              <w:spacing w:after="0" w:line="202" w:lineRule="exact"/>
              <w:rPr>
                <w:sz w:val="20"/>
                <w:szCs w:val="20"/>
                <w:color w:val="auto"/>
              </w:rPr>
            </w:pPr>
            <w:r>
              <w:rPr>
                <w:rFonts w:ascii="Arial" w:cs="Arial" w:eastAsia="Arial" w:hAnsi="Arial"/>
                <w:sz w:val="18"/>
                <w:szCs w:val="18"/>
                <w:color w:val="auto"/>
              </w:rPr>
              <w:t>Shareholders is more than 30 calendar</w:t>
            </w:r>
          </w:p>
        </w:tc>
      </w:tr>
      <w:tr>
        <w:trPr>
          <w:trHeight w:val="203"/>
        </w:trPr>
        <w:tc>
          <w:tcPr>
            <w:tcW w:w="4800" w:type="dxa"/>
            <w:vAlign w:val="bottom"/>
          </w:tcPr>
          <w:p>
            <w:pPr>
              <w:ind w:left="1340"/>
              <w:spacing w:after="0" w:line="202" w:lineRule="exact"/>
              <w:rPr>
                <w:sz w:val="20"/>
                <w:szCs w:val="20"/>
                <w:color w:val="auto"/>
              </w:rPr>
            </w:pPr>
            <w:r>
              <w:rPr>
                <w:rFonts w:ascii="Arial" w:cs="Arial" w:eastAsia="Arial" w:hAnsi="Arial"/>
                <w:sz w:val="18"/>
                <w:szCs w:val="18"/>
                <w:color w:val="auto"/>
              </w:rPr>
              <w:t>Kalendertage vor oder nach dem</w:t>
            </w:r>
          </w:p>
        </w:tc>
        <w:tc>
          <w:tcPr>
            <w:tcW w:w="740" w:type="dxa"/>
            <w:vAlign w:val="bottom"/>
          </w:tcPr>
          <w:p>
            <w:pPr>
              <w:spacing w:after="0"/>
              <w:rPr>
                <w:sz w:val="17"/>
                <w:szCs w:val="17"/>
                <w:color w:val="auto"/>
              </w:rPr>
            </w:pPr>
          </w:p>
        </w:tc>
        <w:tc>
          <w:tcPr>
            <w:tcW w:w="3780" w:type="dxa"/>
            <w:vAlign w:val="bottom"/>
          </w:tcPr>
          <w:p>
            <w:pPr>
              <w:ind w:left="440"/>
              <w:spacing w:after="0" w:line="202" w:lineRule="exact"/>
              <w:rPr>
                <w:sz w:val="20"/>
                <w:szCs w:val="20"/>
                <w:color w:val="auto"/>
              </w:rPr>
            </w:pPr>
            <w:r>
              <w:rPr>
                <w:rFonts w:ascii="Arial" w:cs="Arial" w:eastAsia="Arial" w:hAnsi="Arial"/>
                <w:sz w:val="18"/>
                <w:szCs w:val="18"/>
                <w:color w:val="auto"/>
              </w:rPr>
              <w:t>days before or after such anniversary</w:t>
            </w:r>
          </w:p>
        </w:tc>
      </w:tr>
      <w:tr>
        <w:trPr>
          <w:trHeight w:val="203"/>
        </w:trPr>
        <w:tc>
          <w:tcPr>
            <w:tcW w:w="4800" w:type="dxa"/>
            <w:vAlign w:val="bottom"/>
          </w:tcPr>
          <w:p>
            <w:pPr>
              <w:ind w:left="1340"/>
              <w:spacing w:after="0" w:line="202" w:lineRule="exact"/>
              <w:rPr>
                <w:sz w:val="20"/>
                <w:szCs w:val="20"/>
                <w:color w:val="auto"/>
              </w:rPr>
            </w:pPr>
            <w:r>
              <w:rPr>
                <w:rFonts w:ascii="Arial" w:cs="Arial" w:eastAsia="Arial" w:hAnsi="Arial"/>
                <w:sz w:val="18"/>
                <w:szCs w:val="18"/>
                <w:color w:val="auto"/>
              </w:rPr>
              <w:t>Jahrestag der vorangegangenen</w:t>
            </w:r>
          </w:p>
        </w:tc>
        <w:tc>
          <w:tcPr>
            <w:tcW w:w="740" w:type="dxa"/>
            <w:vAlign w:val="bottom"/>
          </w:tcPr>
          <w:p>
            <w:pPr>
              <w:spacing w:after="0"/>
              <w:rPr>
                <w:sz w:val="17"/>
                <w:szCs w:val="17"/>
                <w:color w:val="auto"/>
              </w:rPr>
            </w:pPr>
          </w:p>
        </w:tc>
        <w:tc>
          <w:tcPr>
            <w:tcW w:w="3780" w:type="dxa"/>
            <w:vAlign w:val="bottom"/>
          </w:tcPr>
          <w:p>
            <w:pPr>
              <w:ind w:left="440"/>
              <w:spacing w:after="0" w:line="202" w:lineRule="exact"/>
              <w:rPr>
                <w:sz w:val="20"/>
                <w:szCs w:val="20"/>
                <w:color w:val="auto"/>
              </w:rPr>
            </w:pPr>
            <w:r>
              <w:rPr>
                <w:rFonts w:ascii="Arial" w:cs="Arial" w:eastAsia="Arial" w:hAnsi="Arial"/>
                <w:sz w:val="18"/>
                <w:szCs w:val="18"/>
                <w:color w:val="auto"/>
              </w:rPr>
              <w:t>date, such request must instead be made</w:t>
            </w:r>
          </w:p>
        </w:tc>
      </w:tr>
      <w:tr>
        <w:trPr>
          <w:trHeight w:val="203"/>
        </w:trPr>
        <w:tc>
          <w:tcPr>
            <w:tcW w:w="4800" w:type="dxa"/>
            <w:vAlign w:val="bottom"/>
          </w:tcPr>
          <w:p>
            <w:pPr>
              <w:ind w:left="1340"/>
              <w:spacing w:after="0" w:line="202" w:lineRule="exact"/>
              <w:rPr>
                <w:sz w:val="20"/>
                <w:szCs w:val="20"/>
                <w:color w:val="auto"/>
              </w:rPr>
            </w:pPr>
            <w:r>
              <w:rPr>
                <w:rFonts w:ascii="Arial" w:cs="Arial" w:eastAsia="Arial" w:hAnsi="Arial"/>
                <w:sz w:val="18"/>
                <w:szCs w:val="18"/>
                <w:color w:val="auto"/>
              </w:rPr>
              <w:t>Generalversammlung angesetzt worden</w:t>
            </w:r>
          </w:p>
        </w:tc>
        <w:tc>
          <w:tcPr>
            <w:tcW w:w="740" w:type="dxa"/>
            <w:vAlign w:val="bottom"/>
          </w:tcPr>
          <w:p>
            <w:pPr>
              <w:spacing w:after="0"/>
              <w:rPr>
                <w:sz w:val="17"/>
                <w:szCs w:val="17"/>
                <w:color w:val="auto"/>
              </w:rPr>
            </w:pPr>
          </w:p>
        </w:tc>
        <w:tc>
          <w:tcPr>
            <w:tcW w:w="3780" w:type="dxa"/>
            <w:vAlign w:val="bottom"/>
          </w:tcPr>
          <w:p>
            <w:pPr>
              <w:ind w:left="440"/>
              <w:spacing w:after="0" w:line="202" w:lineRule="exact"/>
              <w:rPr>
                <w:sz w:val="20"/>
                <w:szCs w:val="20"/>
                <w:color w:val="auto"/>
              </w:rPr>
            </w:pPr>
            <w:r>
              <w:rPr>
                <w:rFonts w:ascii="Arial" w:cs="Arial" w:eastAsia="Arial" w:hAnsi="Arial"/>
                <w:sz w:val="16"/>
                <w:szCs w:val="16"/>
                <w:color w:val="auto"/>
              </w:rPr>
              <w:t>at least by the 10</w:t>
            </w:r>
            <w:r>
              <w:rPr>
                <w:rFonts w:ascii="Arial" w:cs="Arial" w:eastAsia="Arial" w:hAnsi="Arial"/>
                <w:sz w:val="23"/>
                <w:szCs w:val="23"/>
                <w:color w:val="auto"/>
                <w:vertAlign w:val="superscript"/>
              </w:rPr>
              <w:t>th</w:t>
            </w:r>
            <w:r>
              <w:rPr>
                <w:rFonts w:ascii="Arial" w:cs="Arial" w:eastAsia="Arial" w:hAnsi="Arial"/>
                <w:sz w:val="16"/>
                <w:szCs w:val="16"/>
                <w:color w:val="auto"/>
              </w:rPr>
              <w:t xml:space="preserve"> calendar day following</w:t>
            </w:r>
          </w:p>
        </w:tc>
      </w:tr>
      <w:tr>
        <w:trPr>
          <w:trHeight w:val="203"/>
        </w:trPr>
        <w:tc>
          <w:tcPr>
            <w:tcW w:w="4800" w:type="dxa"/>
            <w:vAlign w:val="bottom"/>
          </w:tcPr>
          <w:p>
            <w:pPr>
              <w:ind w:left="1340"/>
              <w:spacing w:after="0" w:line="202" w:lineRule="exact"/>
              <w:rPr>
                <w:sz w:val="20"/>
                <w:szCs w:val="20"/>
                <w:color w:val="auto"/>
              </w:rPr>
            </w:pPr>
            <w:r>
              <w:rPr>
                <w:rFonts w:ascii="Arial" w:cs="Arial" w:eastAsia="Arial" w:hAnsi="Arial"/>
                <w:sz w:val="18"/>
                <w:szCs w:val="18"/>
                <w:color w:val="auto"/>
              </w:rPr>
              <w:t>ist, ist das Traktandierungsbegehren</w:t>
            </w:r>
          </w:p>
        </w:tc>
        <w:tc>
          <w:tcPr>
            <w:tcW w:w="740" w:type="dxa"/>
            <w:vAlign w:val="bottom"/>
          </w:tcPr>
          <w:p>
            <w:pPr>
              <w:spacing w:after="0"/>
              <w:rPr>
                <w:sz w:val="17"/>
                <w:szCs w:val="17"/>
                <w:color w:val="auto"/>
              </w:rPr>
            </w:pPr>
          </w:p>
        </w:tc>
        <w:tc>
          <w:tcPr>
            <w:tcW w:w="3780" w:type="dxa"/>
            <w:vAlign w:val="bottom"/>
          </w:tcPr>
          <w:p>
            <w:pPr>
              <w:ind w:left="440"/>
              <w:spacing w:after="0" w:line="202" w:lineRule="exact"/>
              <w:rPr>
                <w:sz w:val="20"/>
                <w:szCs w:val="20"/>
                <w:color w:val="auto"/>
              </w:rPr>
            </w:pPr>
            <w:r>
              <w:rPr>
                <w:rFonts w:ascii="Arial" w:cs="Arial" w:eastAsia="Arial" w:hAnsi="Arial"/>
                <w:sz w:val="18"/>
                <w:szCs w:val="18"/>
                <w:color w:val="auto"/>
              </w:rPr>
              <w:t>the date on which the Company has</w:t>
            </w:r>
          </w:p>
        </w:tc>
      </w:tr>
      <w:tr>
        <w:trPr>
          <w:trHeight w:val="203"/>
        </w:trPr>
        <w:tc>
          <w:tcPr>
            <w:tcW w:w="4800" w:type="dxa"/>
            <w:vAlign w:val="bottom"/>
          </w:tcPr>
          <w:p>
            <w:pPr>
              <w:ind w:left="1340"/>
              <w:spacing w:after="0" w:line="202" w:lineRule="exact"/>
              <w:rPr>
                <w:sz w:val="20"/>
                <w:szCs w:val="20"/>
                <w:color w:val="auto"/>
              </w:rPr>
            </w:pPr>
            <w:r>
              <w:rPr>
                <w:rFonts w:ascii="Arial" w:cs="Arial" w:eastAsia="Arial" w:hAnsi="Arial"/>
                <w:sz w:val="18"/>
                <w:szCs w:val="18"/>
                <w:color w:val="auto"/>
              </w:rPr>
              <w:t>stattdessen spätestens 10 Kalendertage</w:t>
            </w:r>
          </w:p>
        </w:tc>
        <w:tc>
          <w:tcPr>
            <w:tcW w:w="740" w:type="dxa"/>
            <w:vAlign w:val="bottom"/>
          </w:tcPr>
          <w:p>
            <w:pPr>
              <w:spacing w:after="0"/>
              <w:rPr>
                <w:sz w:val="17"/>
                <w:szCs w:val="17"/>
                <w:color w:val="auto"/>
              </w:rPr>
            </w:pPr>
          </w:p>
        </w:tc>
        <w:tc>
          <w:tcPr>
            <w:tcW w:w="3780" w:type="dxa"/>
            <w:vAlign w:val="bottom"/>
          </w:tcPr>
          <w:p>
            <w:pPr>
              <w:ind w:left="440"/>
              <w:spacing w:after="0" w:line="202" w:lineRule="exact"/>
              <w:rPr>
                <w:sz w:val="20"/>
                <w:szCs w:val="20"/>
                <w:color w:val="auto"/>
              </w:rPr>
            </w:pPr>
            <w:r>
              <w:rPr>
                <w:rFonts w:ascii="Arial" w:cs="Arial" w:eastAsia="Arial" w:hAnsi="Arial"/>
                <w:sz w:val="18"/>
                <w:szCs w:val="18"/>
                <w:color w:val="auto"/>
              </w:rPr>
              <w:t>made public disclosure of the date of the</w:t>
            </w:r>
          </w:p>
        </w:tc>
      </w:tr>
      <w:tr>
        <w:trPr>
          <w:trHeight w:val="203"/>
        </w:trPr>
        <w:tc>
          <w:tcPr>
            <w:tcW w:w="4800" w:type="dxa"/>
            <w:vAlign w:val="bottom"/>
          </w:tcPr>
          <w:p>
            <w:pPr>
              <w:ind w:left="1340"/>
              <w:spacing w:after="0" w:line="202" w:lineRule="exact"/>
              <w:rPr>
                <w:sz w:val="20"/>
                <w:szCs w:val="20"/>
                <w:color w:val="auto"/>
              </w:rPr>
            </w:pPr>
            <w:r>
              <w:rPr>
                <w:rFonts w:ascii="Arial" w:cs="Arial" w:eastAsia="Arial" w:hAnsi="Arial"/>
                <w:sz w:val="18"/>
                <w:szCs w:val="18"/>
                <w:color w:val="auto"/>
              </w:rPr>
              <w:t>nach dem Tag einzureichen, an dem die</w:t>
            </w:r>
          </w:p>
        </w:tc>
        <w:tc>
          <w:tcPr>
            <w:tcW w:w="740" w:type="dxa"/>
            <w:vAlign w:val="bottom"/>
          </w:tcPr>
          <w:p>
            <w:pPr>
              <w:spacing w:after="0"/>
              <w:rPr>
                <w:sz w:val="17"/>
                <w:szCs w:val="17"/>
                <w:color w:val="auto"/>
              </w:rPr>
            </w:pPr>
          </w:p>
        </w:tc>
        <w:tc>
          <w:tcPr>
            <w:tcW w:w="3780" w:type="dxa"/>
            <w:vAlign w:val="bottom"/>
          </w:tcPr>
          <w:p>
            <w:pPr>
              <w:ind w:left="440"/>
              <w:spacing w:after="0" w:line="202" w:lineRule="exact"/>
              <w:rPr>
                <w:sz w:val="20"/>
                <w:szCs w:val="20"/>
                <w:color w:val="auto"/>
              </w:rPr>
            </w:pPr>
            <w:r>
              <w:rPr>
                <w:rFonts w:ascii="Arial" w:cs="Arial" w:eastAsia="Arial" w:hAnsi="Arial"/>
                <w:sz w:val="18"/>
                <w:szCs w:val="18"/>
                <w:color w:val="auto"/>
              </w:rPr>
              <w:t>General Meeting of Shareholders.</w:t>
            </w:r>
          </w:p>
        </w:tc>
      </w:tr>
      <w:tr>
        <w:trPr>
          <w:trHeight w:val="203"/>
        </w:trPr>
        <w:tc>
          <w:tcPr>
            <w:tcW w:w="4800" w:type="dxa"/>
            <w:vAlign w:val="bottom"/>
          </w:tcPr>
          <w:p>
            <w:pPr>
              <w:ind w:left="1340"/>
              <w:spacing w:after="0" w:line="202" w:lineRule="exact"/>
              <w:rPr>
                <w:sz w:val="20"/>
                <w:szCs w:val="20"/>
                <w:color w:val="auto"/>
              </w:rPr>
            </w:pPr>
            <w:r>
              <w:rPr>
                <w:rFonts w:ascii="Arial" w:cs="Arial" w:eastAsia="Arial" w:hAnsi="Arial"/>
                <w:sz w:val="18"/>
                <w:szCs w:val="18"/>
                <w:color w:val="auto"/>
              </w:rPr>
              <w:t>Gesellschaft das Datum der</w:t>
            </w:r>
          </w:p>
        </w:tc>
        <w:tc>
          <w:tcPr>
            <w:tcW w:w="740" w:type="dxa"/>
            <w:vAlign w:val="bottom"/>
          </w:tcPr>
          <w:p>
            <w:pPr>
              <w:spacing w:after="0"/>
              <w:rPr>
                <w:sz w:val="17"/>
                <w:szCs w:val="17"/>
                <w:color w:val="auto"/>
              </w:rPr>
            </w:pPr>
          </w:p>
        </w:tc>
        <w:tc>
          <w:tcPr>
            <w:tcW w:w="3780" w:type="dxa"/>
            <w:vAlign w:val="bottom"/>
          </w:tcPr>
          <w:p>
            <w:pPr>
              <w:spacing w:after="0"/>
              <w:rPr>
                <w:sz w:val="17"/>
                <w:szCs w:val="17"/>
                <w:color w:val="auto"/>
              </w:rPr>
            </w:pPr>
          </w:p>
        </w:tc>
      </w:tr>
      <w:tr>
        <w:trPr>
          <w:trHeight w:val="203"/>
        </w:trPr>
        <w:tc>
          <w:tcPr>
            <w:tcW w:w="4800" w:type="dxa"/>
            <w:vAlign w:val="bottom"/>
          </w:tcPr>
          <w:p>
            <w:pPr>
              <w:ind w:left="1340"/>
              <w:spacing w:after="0" w:line="202" w:lineRule="exact"/>
              <w:rPr>
                <w:sz w:val="20"/>
                <w:szCs w:val="20"/>
                <w:color w:val="auto"/>
              </w:rPr>
            </w:pPr>
            <w:r>
              <w:rPr>
                <w:rFonts w:ascii="Arial" w:cs="Arial" w:eastAsia="Arial" w:hAnsi="Arial"/>
                <w:sz w:val="18"/>
                <w:szCs w:val="18"/>
                <w:color w:val="auto"/>
              </w:rPr>
              <w:t>Generalversammlung öffentlich bekannt</w:t>
            </w:r>
          </w:p>
        </w:tc>
        <w:tc>
          <w:tcPr>
            <w:tcW w:w="740" w:type="dxa"/>
            <w:vAlign w:val="bottom"/>
          </w:tcPr>
          <w:p>
            <w:pPr>
              <w:spacing w:after="0"/>
              <w:rPr>
                <w:sz w:val="17"/>
                <w:szCs w:val="17"/>
                <w:color w:val="auto"/>
              </w:rPr>
            </w:pPr>
          </w:p>
        </w:tc>
        <w:tc>
          <w:tcPr>
            <w:tcW w:w="3780" w:type="dxa"/>
            <w:vAlign w:val="bottom"/>
          </w:tcPr>
          <w:p>
            <w:pPr>
              <w:spacing w:after="0"/>
              <w:rPr>
                <w:sz w:val="17"/>
                <w:szCs w:val="17"/>
                <w:color w:val="auto"/>
              </w:rPr>
            </w:pPr>
          </w:p>
        </w:tc>
      </w:tr>
      <w:tr>
        <w:trPr>
          <w:trHeight w:val="239"/>
        </w:trPr>
        <w:tc>
          <w:tcPr>
            <w:tcW w:w="4800" w:type="dxa"/>
            <w:vAlign w:val="bottom"/>
          </w:tcPr>
          <w:p>
            <w:pPr>
              <w:ind w:left="1340"/>
              <w:spacing w:after="0"/>
              <w:rPr>
                <w:sz w:val="20"/>
                <w:szCs w:val="20"/>
                <w:color w:val="auto"/>
              </w:rPr>
            </w:pPr>
            <w:r>
              <w:rPr>
                <w:rFonts w:ascii="Arial" w:cs="Arial" w:eastAsia="Arial" w:hAnsi="Arial"/>
                <w:sz w:val="18"/>
                <w:szCs w:val="18"/>
                <w:color w:val="auto"/>
              </w:rPr>
              <w:t>gemacht hat.</w:t>
            </w:r>
          </w:p>
        </w:tc>
        <w:tc>
          <w:tcPr>
            <w:tcW w:w="740" w:type="dxa"/>
            <w:vAlign w:val="bottom"/>
          </w:tcPr>
          <w:p>
            <w:pPr>
              <w:spacing w:after="0"/>
              <w:rPr>
                <w:sz w:val="20"/>
                <w:szCs w:val="20"/>
                <w:color w:val="auto"/>
              </w:rPr>
            </w:pPr>
          </w:p>
        </w:tc>
        <w:tc>
          <w:tcPr>
            <w:tcW w:w="3780" w:type="dxa"/>
            <w:vAlign w:val="bottom"/>
          </w:tcPr>
          <w:p>
            <w:pPr>
              <w:spacing w:after="0"/>
              <w:rPr>
                <w:sz w:val="20"/>
                <w:szCs w:val="20"/>
                <w:color w:val="auto"/>
              </w:rPr>
            </w:pPr>
          </w:p>
        </w:tc>
      </w:tr>
    </w:tbl>
    <w:p>
      <w:pPr>
        <w:spacing w:after="0" w:line="72" w:lineRule="exact"/>
        <w:rPr>
          <w:sz w:val="20"/>
          <w:szCs w:val="20"/>
          <w:color w:val="auto"/>
        </w:rPr>
      </w:pPr>
    </w:p>
    <w:p>
      <w:pPr>
        <w:sectPr>
          <w:pgSz w:w="11900" w:h="16838" w:orient="portrait"/>
          <w:cols w:equalWidth="0" w:num="1">
            <w:col w:w="9320"/>
          </w:cols>
          <w:pgMar w:left="1220" w:top="670" w:right="1359" w:bottom="1440" w:gutter="0" w:footer="0" w:header="0"/>
          <w:type w:val="continuous"/>
        </w:sectPr>
      </w:pPr>
    </w:p>
    <w:p>
      <w:pPr>
        <w:ind w:left="1340" w:right="282" w:hanging="255"/>
        <w:spacing w:after="0" w:line="231" w:lineRule="auto"/>
        <w:tabs>
          <w:tab w:leader="none" w:pos="1340" w:val="left"/>
        </w:tabs>
        <w:numPr>
          <w:ilvl w:val="0"/>
          <w:numId w:val="72"/>
        </w:numPr>
        <w:rPr>
          <w:rFonts w:ascii="Arial" w:cs="Arial" w:eastAsia="Arial" w:hAnsi="Arial"/>
          <w:sz w:val="28"/>
          <w:szCs w:val="28"/>
          <w:color w:val="auto"/>
          <w:vertAlign w:val="superscript"/>
        </w:rPr>
      </w:pPr>
      <w:r>
        <w:rPr>
          <w:rFonts w:ascii="Arial" w:cs="Arial" w:eastAsia="Arial" w:hAnsi="Arial"/>
          <w:sz w:val="17"/>
          <w:szCs w:val="17"/>
          <w:color w:val="auto"/>
        </w:rPr>
        <w:t>Zu nicht gehörig angekündigten Verhandlungsgegenständen können keine Beschlüsse gefasst werden. Hiervon ausgenommen sind jedoch der Beschluss über den in einer Generalversammlung gestellten Antrag auf (i) Einberufung 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623570</wp:posOffset>
            </wp:positionV>
            <wp:extent cx="629221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278" w:hanging="278"/>
        <w:spacing w:after="0" w:line="218" w:lineRule="auto"/>
        <w:tabs>
          <w:tab w:leader="none" w:pos="278" w:val="left"/>
        </w:tabs>
        <w:numPr>
          <w:ilvl w:val="0"/>
          <w:numId w:val="73"/>
        </w:numPr>
        <w:rPr>
          <w:rFonts w:ascii="Arial" w:cs="Arial" w:eastAsia="Arial" w:hAnsi="Arial"/>
          <w:sz w:val="29"/>
          <w:szCs w:val="29"/>
          <w:color w:val="auto"/>
          <w:vertAlign w:val="superscript"/>
        </w:rPr>
      </w:pPr>
      <w:r>
        <w:rPr>
          <w:rFonts w:ascii="Arial" w:cs="Arial" w:eastAsia="Arial" w:hAnsi="Arial"/>
          <w:sz w:val="18"/>
          <w:szCs w:val="18"/>
          <w:color w:val="auto"/>
        </w:rPr>
        <w:t>No resolution may be passed at a General Meeting of Shareholders concerning an agenda item in relation to which due notice was not given. Proposals made during a General Meeting of Shareholders to (i) convene an Extraordinary General Meeting or</w:t>
      </w:r>
    </w:p>
    <w:p>
      <w:pPr>
        <w:spacing w:after="0" w:line="4" w:lineRule="exact"/>
        <w:rPr>
          <w:rFonts w:ascii="Arial" w:cs="Arial" w:eastAsia="Arial" w:hAnsi="Arial"/>
          <w:sz w:val="29"/>
          <w:szCs w:val="29"/>
          <w:color w:val="auto"/>
          <w:vertAlign w:val="superscript"/>
        </w:rPr>
      </w:pPr>
    </w:p>
    <w:p>
      <w:pPr>
        <w:ind w:left="518" w:hanging="248"/>
        <w:spacing w:after="0"/>
        <w:tabs>
          <w:tab w:leader="none" w:pos="518" w:val="left"/>
        </w:tabs>
        <w:numPr>
          <w:ilvl w:val="1"/>
          <w:numId w:val="73"/>
        </w:numPr>
        <w:rPr>
          <w:rFonts w:ascii="Arial" w:cs="Arial" w:eastAsia="Arial" w:hAnsi="Arial"/>
          <w:sz w:val="18"/>
          <w:szCs w:val="18"/>
          <w:color w:val="auto"/>
        </w:rPr>
      </w:pPr>
      <w:r>
        <w:rPr>
          <w:rFonts w:ascii="Arial" w:cs="Arial" w:eastAsia="Arial" w:hAnsi="Arial"/>
          <w:sz w:val="18"/>
          <w:szCs w:val="18"/>
          <w:color w:val="auto"/>
        </w:rPr>
        <w:t>initiate a special</w:t>
      </w:r>
    </w:p>
    <w:p>
      <w:pPr>
        <w:sectPr>
          <w:pgSz w:w="11900" w:h="16838" w:orient="portrait"/>
          <w:cols w:equalWidth="0" w:num="2">
            <w:col w:w="4982" w:space="720"/>
            <w:col w:w="3618"/>
          </w:cols>
          <w:pgMar w:left="1220" w:top="670" w:right="1359" w:bottom="1440" w:gutter="0" w:footer="0" w:header="0"/>
          <w:type w:val="continuous"/>
        </w:sectPr>
      </w:pPr>
    </w:p>
    <w:bookmarkStart w:id="20" w:name="page21"/>
    <w:bookmarkEnd w:id="20"/>
    <w:p>
      <w:pPr>
        <w:jc w:val="center"/>
        <w:ind w:right="-299"/>
        <w:spacing w:after="0"/>
        <w:rPr>
          <w:sz w:val="20"/>
          <w:szCs w:val="20"/>
          <w:color w:val="auto"/>
        </w:rPr>
      </w:pPr>
      <w:r>
        <w:rPr>
          <w:rFonts w:ascii="Arial" w:cs="Arial" w:eastAsia="Arial" w:hAnsi="Arial"/>
          <w:sz w:val="13"/>
          <w:szCs w:val="13"/>
          <w:color w:val="auto"/>
        </w:rPr>
        <w:t>- 14 -</w:t>
      </w:r>
    </w:p>
    <w:p>
      <w:pPr>
        <w:sectPr>
          <w:pgSz w:w="11900" w:h="16838" w:orient="portrait"/>
          <w:cols w:equalWidth="0" w:num="1">
            <w:col w:w="9340"/>
          </w:cols>
          <w:pgMar w:left="1220" w:top="670"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340" w:right="517"/>
        <w:spacing w:after="0"/>
        <w:rPr>
          <w:sz w:val="20"/>
          <w:szCs w:val="20"/>
          <w:color w:val="auto"/>
        </w:rPr>
      </w:pPr>
      <w:r>
        <w:rPr>
          <w:rFonts w:ascii="Arial" w:cs="Arial" w:eastAsia="Arial" w:hAnsi="Arial"/>
          <w:sz w:val="18"/>
          <w:szCs w:val="18"/>
          <w:color w:val="auto"/>
        </w:rPr>
        <w:t>ausserordentlichen Generalversammlung sowie (ii) Durchführung einer Sonderuntersuchung gemäss Artikel 697c des Schweizerischen</w:t>
      </w:r>
    </w:p>
    <w:p>
      <w:pPr>
        <w:ind w:left="1340"/>
        <w:spacing w:after="0"/>
        <w:rPr>
          <w:sz w:val="20"/>
          <w:szCs w:val="20"/>
          <w:color w:val="auto"/>
        </w:rPr>
      </w:pPr>
      <w:r>
        <w:rPr>
          <w:rFonts w:ascii="Arial" w:cs="Arial" w:eastAsia="Arial" w:hAnsi="Arial"/>
          <w:sz w:val="18"/>
          <w:szCs w:val="18"/>
          <w:color w:val="auto"/>
        </w:rPr>
        <w:t>Obligationenrechts (</w:t>
      </w:r>
      <w:r>
        <w:rPr>
          <w:rFonts w:ascii="Arial" w:cs="Arial" w:eastAsia="Arial" w:hAnsi="Arial"/>
          <w:sz w:val="18"/>
          <w:szCs w:val="18"/>
          <w:b w:val="1"/>
          <w:bCs w:val="1"/>
          <w:color w:val="auto"/>
        </w:rPr>
        <w:t>OR</w:t>
      </w:r>
      <w:r>
        <w:rPr>
          <w:rFonts w:ascii="Arial" w:cs="Arial" w:eastAsia="Arial" w:hAnsi="Arial"/>
          <w:sz w:val="18"/>
          <w:szCs w:val="18"/>
          <w:color w:val="auto"/>
        </w:rPr>
        <w:t>).</w:t>
      </w:r>
    </w:p>
    <w:p>
      <w:pPr>
        <w:spacing w:after="0" w:line="86" w:lineRule="exact"/>
        <w:rPr>
          <w:sz w:val="20"/>
          <w:szCs w:val="20"/>
          <w:color w:val="auto"/>
        </w:rPr>
      </w:pPr>
    </w:p>
    <w:p>
      <w:pPr>
        <w:ind w:left="1340" w:right="657" w:hanging="255"/>
        <w:spacing w:after="0" w:line="216" w:lineRule="auto"/>
        <w:tabs>
          <w:tab w:leader="none" w:pos="1340" w:val="left"/>
        </w:tabs>
        <w:numPr>
          <w:ilvl w:val="0"/>
          <w:numId w:val="74"/>
        </w:numPr>
        <w:rPr>
          <w:rFonts w:ascii="Arial" w:cs="Arial" w:eastAsia="Arial" w:hAnsi="Arial"/>
          <w:sz w:val="29"/>
          <w:szCs w:val="29"/>
          <w:color w:val="auto"/>
          <w:vertAlign w:val="superscript"/>
        </w:rPr>
      </w:pPr>
      <w:r>
        <w:rPr>
          <w:rFonts w:ascii="Arial" w:cs="Arial" w:eastAsia="Arial" w:hAnsi="Arial"/>
          <w:sz w:val="18"/>
          <w:szCs w:val="18"/>
          <w:color w:val="auto"/>
        </w:rPr>
        <w:t>Zur Stellung von Anträgen im Rahmen der Verhandlungsgegenstände und zu Verhandlungen ohne Beschlussfassung bedarf es keiner vorgängigen Ankündigung.</w:t>
      </w:r>
    </w:p>
    <w:p>
      <w:pPr>
        <w:spacing w:after="0" w:line="75" w:lineRule="exact"/>
        <w:rPr>
          <w:rFonts w:ascii="Arial" w:cs="Arial" w:eastAsia="Arial" w:hAnsi="Arial"/>
          <w:sz w:val="29"/>
          <w:szCs w:val="29"/>
          <w:color w:val="auto"/>
          <w:vertAlign w:val="superscript"/>
        </w:rPr>
      </w:pPr>
    </w:p>
    <w:p>
      <w:pPr>
        <w:ind w:left="1340"/>
        <w:spacing w:after="0"/>
        <w:rPr>
          <w:rFonts w:ascii="Arial" w:cs="Arial" w:eastAsia="Arial" w:hAnsi="Arial"/>
          <w:sz w:val="29"/>
          <w:szCs w:val="29"/>
          <w:color w:val="auto"/>
          <w:vertAlign w:val="superscript"/>
        </w:rPr>
      </w:pPr>
      <w:r>
        <w:rPr>
          <w:rFonts w:ascii="Arial" w:cs="Arial" w:eastAsia="Arial" w:hAnsi="Arial"/>
          <w:sz w:val="18"/>
          <w:szCs w:val="18"/>
          <w:b w:val="1"/>
          <w:bCs w:val="1"/>
          <w:color w:val="auto"/>
        </w:rPr>
        <w:t>Artikel 15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0" w:lineRule="exact"/>
        <w:rPr>
          <w:sz w:val="20"/>
          <w:szCs w:val="20"/>
          <w:color w:val="auto"/>
        </w:rPr>
      </w:pPr>
    </w:p>
    <w:p>
      <w:pPr>
        <w:ind w:left="263" w:right="60"/>
        <w:spacing w:after="0" w:line="247" w:lineRule="auto"/>
        <w:rPr>
          <w:sz w:val="20"/>
          <w:szCs w:val="20"/>
          <w:color w:val="auto"/>
        </w:rPr>
      </w:pPr>
      <w:r>
        <w:rPr>
          <w:rFonts w:ascii="Arial" w:cs="Arial" w:eastAsia="Arial" w:hAnsi="Arial"/>
          <w:sz w:val="18"/>
          <w:szCs w:val="18"/>
          <w:color w:val="auto"/>
        </w:rPr>
        <w:t>investigation in accordance with article 697c of the Swiss Code of Obligations (</w:t>
      </w:r>
      <w:r>
        <w:rPr>
          <w:rFonts w:ascii="Arial" w:cs="Arial" w:eastAsia="Arial" w:hAnsi="Arial"/>
          <w:sz w:val="18"/>
          <w:szCs w:val="18"/>
          <w:b w:val="1"/>
          <w:bCs w:val="1"/>
          <w:color w:val="auto"/>
        </w:rPr>
        <w:t>CO</w:t>
      </w:r>
      <w:r>
        <w:rPr>
          <w:rFonts w:ascii="Arial" w:cs="Arial" w:eastAsia="Arial" w:hAnsi="Arial"/>
          <w:sz w:val="18"/>
          <w:szCs w:val="18"/>
          <w:color w:val="auto"/>
        </w:rPr>
        <w:t>) are not subject to the due notice requirement set forth herein.</w:t>
      </w:r>
    </w:p>
    <w:p>
      <w:pPr>
        <w:spacing w:after="0" w:line="268" w:lineRule="exact"/>
        <w:rPr>
          <w:sz w:val="20"/>
          <w:szCs w:val="20"/>
          <w:color w:val="auto"/>
        </w:rPr>
      </w:pPr>
    </w:p>
    <w:p>
      <w:pPr>
        <w:ind w:left="263" w:right="80" w:hanging="263"/>
        <w:spacing w:after="0" w:line="212" w:lineRule="auto"/>
        <w:tabs>
          <w:tab w:leader="none" w:pos="263" w:val="left"/>
        </w:tabs>
        <w:numPr>
          <w:ilvl w:val="0"/>
          <w:numId w:val="75"/>
        </w:numPr>
        <w:rPr>
          <w:rFonts w:ascii="Arial" w:cs="Arial" w:eastAsia="Arial" w:hAnsi="Arial"/>
          <w:sz w:val="29"/>
          <w:szCs w:val="29"/>
          <w:color w:val="auto"/>
          <w:vertAlign w:val="superscript"/>
        </w:rPr>
      </w:pPr>
      <w:r>
        <w:rPr>
          <w:rFonts w:ascii="Arial" w:cs="Arial" w:eastAsia="Arial" w:hAnsi="Arial"/>
          <w:sz w:val="18"/>
          <w:szCs w:val="18"/>
          <w:color w:val="auto"/>
        </w:rPr>
        <w:t>No prior notice is required to bring motions related to items already on the agenda or for the discussion of matters on which no resolution is to be taken.</w:t>
      </w:r>
    </w:p>
    <w:p>
      <w:pPr>
        <w:spacing w:after="0" w:line="277" w:lineRule="exact"/>
        <w:rPr>
          <w:rFonts w:ascii="Arial" w:cs="Arial" w:eastAsia="Arial" w:hAnsi="Arial"/>
          <w:sz w:val="29"/>
          <w:szCs w:val="29"/>
          <w:color w:val="auto"/>
          <w:vertAlign w:val="superscript"/>
        </w:rPr>
      </w:pPr>
    </w:p>
    <w:p>
      <w:pPr>
        <w:ind w:left="263"/>
        <w:spacing w:after="0"/>
        <w:rPr>
          <w:rFonts w:ascii="Arial" w:cs="Arial" w:eastAsia="Arial" w:hAnsi="Arial"/>
          <w:sz w:val="29"/>
          <w:szCs w:val="29"/>
          <w:color w:val="auto"/>
          <w:vertAlign w:val="superscript"/>
        </w:rPr>
      </w:pPr>
      <w:r>
        <w:rPr>
          <w:rFonts w:ascii="Arial" w:cs="Arial" w:eastAsia="Arial" w:hAnsi="Arial"/>
          <w:sz w:val="18"/>
          <w:szCs w:val="18"/>
          <w:b w:val="1"/>
          <w:bCs w:val="1"/>
          <w:color w:val="auto"/>
        </w:rPr>
        <w:t>Article 15</w:t>
      </w:r>
    </w:p>
    <w:p>
      <w:pPr>
        <w:spacing w:after="0" w:line="199" w:lineRule="exact"/>
        <w:rPr>
          <w:sz w:val="20"/>
          <w:szCs w:val="20"/>
          <w:color w:val="auto"/>
        </w:rPr>
      </w:pPr>
    </w:p>
    <w:p>
      <w:pPr>
        <w:sectPr>
          <w:pgSz w:w="11900" w:h="16838" w:orient="portrait"/>
          <w:cols w:equalWidth="0" w:num="2">
            <w:col w:w="5157" w:space="720"/>
            <w:col w:w="3463"/>
          </w:cols>
          <w:pgMar w:left="1220" w:top="670" w:right="1339" w:bottom="1440" w:gutter="0" w:footer="0" w:header="0"/>
          <w:type w:val="continuous"/>
        </w:sectPr>
      </w:pPr>
    </w:p>
    <w:p>
      <w:pPr>
        <w:spacing w:after="0" w:line="36" w:lineRule="exact"/>
        <w:rPr>
          <w:sz w:val="20"/>
          <w:szCs w:val="20"/>
          <w:color w:val="auto"/>
        </w:rPr>
      </w:pPr>
    </w:p>
    <w:p>
      <w:pPr>
        <w:spacing w:after="0" w:line="252" w:lineRule="auto"/>
        <w:rPr>
          <w:sz w:val="20"/>
          <w:szCs w:val="20"/>
          <w:color w:val="auto"/>
        </w:rPr>
      </w:pPr>
      <w:r>
        <w:rPr>
          <w:rFonts w:ascii="Arial" w:cs="Arial" w:eastAsia="Arial" w:hAnsi="Arial"/>
          <w:sz w:val="14"/>
          <w:szCs w:val="14"/>
          <w:color w:val="auto"/>
        </w:rPr>
        <w:t>Vorsitz der Generalver-sammlung, Protokoll, Stimmenzähler</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ind w:left="255" w:right="20" w:hanging="255"/>
        <w:spacing w:after="0" w:line="228" w:lineRule="auto"/>
        <w:tabs>
          <w:tab w:leader="none" w:pos="255" w:val="left"/>
        </w:tabs>
        <w:numPr>
          <w:ilvl w:val="0"/>
          <w:numId w:val="76"/>
        </w:numPr>
        <w:rPr>
          <w:rFonts w:ascii="Arial" w:cs="Arial" w:eastAsia="Arial" w:hAnsi="Arial"/>
          <w:sz w:val="28"/>
          <w:szCs w:val="28"/>
          <w:color w:val="auto"/>
          <w:vertAlign w:val="superscript"/>
        </w:rPr>
      </w:pPr>
      <w:r>
        <w:rPr>
          <w:rFonts w:ascii="Arial" w:cs="Arial" w:eastAsia="Arial" w:hAnsi="Arial"/>
          <w:sz w:val="17"/>
          <w:szCs w:val="17"/>
          <w:color w:val="auto"/>
        </w:rPr>
        <w:t>An der Generalversammlung führt der Präsident des Verwaltungsrates oder, bei dessen Verhinderung, der Vizepräsident oder eine andere vom Verwaltungsrat bezeichnete Person den Vorsitz.</w:t>
      </w:r>
    </w:p>
    <w:p>
      <w:pPr>
        <w:spacing w:after="0" w:line="72" w:lineRule="exact"/>
        <w:rPr>
          <w:sz w:val="20"/>
          <w:szCs w:val="20"/>
          <w:color w:val="auto"/>
        </w:rPr>
      </w:pPr>
    </w:p>
    <w:p>
      <w:pPr>
        <w:ind w:left="255" w:hanging="255"/>
        <w:spacing w:after="0" w:line="219" w:lineRule="auto"/>
        <w:tabs>
          <w:tab w:leader="none" w:pos="255" w:val="left"/>
        </w:tabs>
        <w:numPr>
          <w:ilvl w:val="0"/>
          <w:numId w:val="77"/>
        </w:numPr>
        <w:rPr>
          <w:rFonts w:ascii="Arial" w:cs="Arial" w:eastAsia="Arial" w:hAnsi="Arial"/>
          <w:sz w:val="29"/>
          <w:szCs w:val="29"/>
          <w:color w:val="auto"/>
          <w:vertAlign w:val="superscript"/>
        </w:rPr>
      </w:pPr>
      <w:r>
        <w:rPr>
          <w:rFonts w:ascii="Arial" w:cs="Arial" w:eastAsia="Arial" w:hAnsi="Arial"/>
          <w:sz w:val="18"/>
          <w:szCs w:val="18"/>
          <w:color w:val="auto"/>
        </w:rPr>
        <w:t>Der Vorsitzende der Generalversammlung bestimmt den Protokollführer und die Stimmenzähler, die alle nicht Aktionäre sein müssen. Das Protokoll ist vom Vorsitzenden und vom Protokollführer zu unterzeichnen.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Pr>
          <w:p>
            <w:pPr>
              <w:spacing w:after="0"/>
              <w:rPr>
                <w:sz w:val="20"/>
                <w:szCs w:val="20"/>
                <w:color w:val="auto"/>
              </w:rPr>
            </w:pPr>
            <w:r>
              <w:rPr>
                <w:rFonts w:ascii="Arial" w:cs="Arial" w:eastAsia="Arial" w:hAnsi="Arial"/>
                <w:sz w:val="14"/>
                <w:szCs w:val="14"/>
                <w:color w:val="auto"/>
              </w:rPr>
              <w:t>Acting Chair,1</w:t>
            </w:r>
          </w:p>
        </w:tc>
        <w:tc>
          <w:tcPr>
            <w:tcW w:w="3260" w:type="dxa"/>
            <w:vAlign w:val="bottom"/>
          </w:tcPr>
          <w:p>
            <w:pPr>
              <w:ind w:left="80"/>
              <w:spacing w:after="0"/>
              <w:rPr>
                <w:sz w:val="20"/>
                <w:szCs w:val="20"/>
                <w:color w:val="auto"/>
              </w:rPr>
            </w:pPr>
            <w:r>
              <w:rPr>
                <w:rFonts w:ascii="Arial" w:cs="Arial" w:eastAsia="Arial" w:hAnsi="Arial"/>
                <w:sz w:val="18"/>
                <w:szCs w:val="18"/>
                <w:color w:val="auto"/>
                <w:w w:val="99"/>
              </w:rPr>
              <w:t>At the General Meeting of Shareholders</w:t>
            </w:r>
          </w:p>
        </w:tc>
        <w:tc>
          <w:tcPr>
            <w:tcW w:w="0" w:type="dxa"/>
            <w:vAlign w:val="bottom"/>
          </w:tcPr>
          <w:p>
            <w:pPr>
              <w:spacing w:after="0"/>
              <w:rPr>
                <w:sz w:val="1"/>
                <w:szCs w:val="1"/>
                <w:color w:val="auto"/>
              </w:rPr>
            </w:pPr>
          </w:p>
        </w:tc>
      </w:tr>
      <w:tr>
        <w:trPr>
          <w:trHeight w:val="203"/>
        </w:trPr>
        <w:tc>
          <w:tcPr>
            <w:tcW w:w="1280" w:type="dxa"/>
            <w:vAlign w:val="bottom"/>
          </w:tcPr>
          <w:p>
            <w:pPr>
              <w:spacing w:after="0"/>
              <w:rPr>
                <w:sz w:val="20"/>
                <w:szCs w:val="20"/>
                <w:color w:val="auto"/>
              </w:rPr>
            </w:pPr>
            <w:r>
              <w:rPr>
                <w:rFonts w:ascii="Arial" w:cs="Arial" w:eastAsia="Arial" w:hAnsi="Arial"/>
                <w:sz w:val="14"/>
                <w:szCs w:val="14"/>
                <w:color w:val="auto"/>
              </w:rPr>
              <w:t>Minutes, Vote</w:t>
            </w:r>
          </w:p>
        </w:tc>
        <w:tc>
          <w:tcPr>
            <w:tcW w:w="3260" w:type="dxa"/>
            <w:vAlign w:val="bottom"/>
          </w:tcPr>
          <w:p>
            <w:pPr>
              <w:ind w:left="80"/>
              <w:spacing w:after="0" w:line="202" w:lineRule="exact"/>
              <w:rPr>
                <w:sz w:val="20"/>
                <w:szCs w:val="20"/>
                <w:color w:val="auto"/>
              </w:rPr>
            </w:pPr>
            <w:r>
              <w:rPr>
                <w:rFonts w:ascii="Arial" w:cs="Arial" w:eastAsia="Arial" w:hAnsi="Arial"/>
                <w:sz w:val="18"/>
                <w:szCs w:val="18"/>
                <w:color w:val="auto"/>
              </w:rPr>
              <w:t>the Chairman of the Board of Directors</w:t>
            </w:r>
          </w:p>
        </w:tc>
        <w:tc>
          <w:tcPr>
            <w:tcW w:w="0" w:type="dxa"/>
            <w:vAlign w:val="bottom"/>
          </w:tcPr>
          <w:p>
            <w:pPr>
              <w:spacing w:after="0"/>
              <w:rPr>
                <w:sz w:val="1"/>
                <w:szCs w:val="1"/>
                <w:color w:val="auto"/>
              </w:rPr>
            </w:pPr>
          </w:p>
        </w:tc>
      </w:tr>
      <w:tr>
        <w:trPr>
          <w:trHeight w:val="190"/>
        </w:trPr>
        <w:tc>
          <w:tcPr>
            <w:tcW w:w="1280" w:type="dxa"/>
            <w:vAlign w:val="bottom"/>
          </w:tcPr>
          <w:p>
            <w:pPr>
              <w:spacing w:after="0"/>
              <w:rPr>
                <w:sz w:val="20"/>
                <w:szCs w:val="20"/>
                <w:color w:val="auto"/>
              </w:rPr>
            </w:pPr>
            <w:r>
              <w:rPr>
                <w:rFonts w:ascii="Arial" w:cs="Arial" w:eastAsia="Arial" w:hAnsi="Arial"/>
                <w:sz w:val="14"/>
                <w:szCs w:val="14"/>
                <w:color w:val="auto"/>
              </w:rPr>
              <w:t>Counters</w:t>
            </w:r>
          </w:p>
        </w:tc>
        <w:tc>
          <w:tcPr>
            <w:tcW w:w="3260" w:type="dxa"/>
            <w:vAlign w:val="bottom"/>
            <w:vMerge w:val="restart"/>
          </w:tcPr>
          <w:p>
            <w:pPr>
              <w:ind w:left="80"/>
              <w:spacing w:after="0"/>
              <w:rPr>
                <w:sz w:val="20"/>
                <w:szCs w:val="20"/>
                <w:color w:val="auto"/>
              </w:rPr>
            </w:pPr>
            <w:r>
              <w:rPr>
                <w:rFonts w:ascii="Arial" w:cs="Arial" w:eastAsia="Arial" w:hAnsi="Arial"/>
                <w:sz w:val="18"/>
                <w:szCs w:val="18"/>
                <w:color w:val="auto"/>
              </w:rPr>
              <w:t>or, in his absence, the Vice-Chairman</w:t>
            </w:r>
          </w:p>
        </w:tc>
        <w:tc>
          <w:tcPr>
            <w:tcW w:w="0" w:type="dxa"/>
            <w:vAlign w:val="bottom"/>
          </w:tcPr>
          <w:p>
            <w:pPr>
              <w:spacing w:after="0"/>
              <w:rPr>
                <w:sz w:val="1"/>
                <w:szCs w:val="1"/>
                <w:color w:val="auto"/>
              </w:rPr>
            </w:pPr>
          </w:p>
        </w:tc>
      </w:tr>
      <w:tr>
        <w:trPr>
          <w:trHeight w:val="34"/>
        </w:trPr>
        <w:tc>
          <w:tcPr>
            <w:tcW w:w="1280" w:type="dxa"/>
            <w:vAlign w:val="bottom"/>
          </w:tcPr>
          <w:p>
            <w:pPr>
              <w:spacing w:after="0"/>
              <w:rPr>
                <w:sz w:val="2"/>
                <w:szCs w:val="2"/>
                <w:color w:val="auto"/>
              </w:rPr>
            </w:pPr>
          </w:p>
        </w:tc>
        <w:tc>
          <w:tcPr>
            <w:tcW w:w="32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280" w:type="dxa"/>
            <w:vAlign w:val="bottom"/>
          </w:tcPr>
          <w:p>
            <w:pPr>
              <w:spacing w:after="0"/>
              <w:rPr>
                <w:sz w:val="17"/>
                <w:szCs w:val="17"/>
                <w:color w:val="auto"/>
              </w:rPr>
            </w:pPr>
          </w:p>
        </w:tc>
        <w:tc>
          <w:tcPr>
            <w:tcW w:w="3260" w:type="dxa"/>
            <w:vAlign w:val="bottom"/>
          </w:tcPr>
          <w:p>
            <w:pPr>
              <w:ind w:left="80"/>
              <w:spacing w:after="0" w:line="202" w:lineRule="exact"/>
              <w:rPr>
                <w:sz w:val="20"/>
                <w:szCs w:val="20"/>
                <w:color w:val="auto"/>
              </w:rPr>
            </w:pPr>
            <w:r>
              <w:rPr>
                <w:rFonts w:ascii="Arial" w:cs="Arial" w:eastAsia="Arial" w:hAnsi="Arial"/>
                <w:sz w:val="18"/>
                <w:szCs w:val="18"/>
                <w:color w:val="auto"/>
              </w:rPr>
              <w:t>or any other person designated by the</w:t>
            </w:r>
          </w:p>
        </w:tc>
        <w:tc>
          <w:tcPr>
            <w:tcW w:w="0" w:type="dxa"/>
            <w:vAlign w:val="bottom"/>
          </w:tcPr>
          <w:p>
            <w:pPr>
              <w:spacing w:after="0"/>
              <w:rPr>
                <w:sz w:val="1"/>
                <w:szCs w:val="1"/>
                <w:color w:val="auto"/>
              </w:rPr>
            </w:pPr>
          </w:p>
        </w:tc>
      </w:tr>
      <w:tr>
        <w:trPr>
          <w:trHeight w:val="239"/>
        </w:trPr>
        <w:tc>
          <w:tcPr>
            <w:tcW w:w="1280" w:type="dxa"/>
            <w:vAlign w:val="bottom"/>
          </w:tcPr>
          <w:p>
            <w:pPr>
              <w:spacing w:after="0"/>
              <w:rPr>
                <w:sz w:val="20"/>
                <w:szCs w:val="20"/>
                <w:color w:val="auto"/>
              </w:rPr>
            </w:pPr>
          </w:p>
        </w:tc>
        <w:tc>
          <w:tcPr>
            <w:tcW w:w="3260" w:type="dxa"/>
            <w:vAlign w:val="bottom"/>
          </w:tcPr>
          <w:p>
            <w:pPr>
              <w:ind w:left="80"/>
              <w:spacing w:after="0"/>
              <w:rPr>
                <w:sz w:val="20"/>
                <w:szCs w:val="20"/>
                <w:color w:val="auto"/>
              </w:rPr>
            </w:pPr>
            <w:r>
              <w:rPr>
                <w:rFonts w:ascii="Arial" w:cs="Arial" w:eastAsia="Arial" w:hAnsi="Arial"/>
                <w:sz w:val="18"/>
                <w:szCs w:val="18"/>
                <w:color w:val="auto"/>
              </w:rPr>
              <w:t>Board of Directors, shall take the chair.</w:t>
            </w:r>
          </w:p>
        </w:tc>
        <w:tc>
          <w:tcPr>
            <w:tcW w:w="0" w:type="dxa"/>
            <w:vAlign w:val="bottom"/>
          </w:tcPr>
          <w:p>
            <w:pPr>
              <w:spacing w:after="0"/>
              <w:rPr>
                <w:sz w:val="1"/>
                <w:szCs w:val="1"/>
                <w:color w:val="auto"/>
              </w:rPr>
            </w:pPr>
          </w:p>
        </w:tc>
      </w:tr>
      <w:tr>
        <w:trPr>
          <w:trHeight w:val="274"/>
        </w:trPr>
        <w:tc>
          <w:tcPr>
            <w:tcW w:w="1280" w:type="dxa"/>
            <w:vAlign w:val="bottom"/>
          </w:tcPr>
          <w:p>
            <w:pPr>
              <w:jc w:val="right"/>
              <w:ind w:right="40"/>
              <w:spacing w:after="0"/>
              <w:rPr>
                <w:sz w:val="20"/>
                <w:szCs w:val="20"/>
                <w:color w:val="auto"/>
              </w:rPr>
            </w:pPr>
            <w:r>
              <w:rPr>
                <w:rFonts w:ascii="Arial" w:cs="Arial" w:eastAsia="Arial" w:hAnsi="Arial"/>
                <w:sz w:val="14"/>
                <w:szCs w:val="14"/>
                <w:color w:val="auto"/>
              </w:rPr>
              <w:t>2</w:t>
            </w:r>
          </w:p>
        </w:tc>
        <w:tc>
          <w:tcPr>
            <w:tcW w:w="3260" w:type="dxa"/>
            <w:vAlign w:val="bottom"/>
          </w:tcPr>
          <w:p>
            <w:pPr>
              <w:ind w:left="80"/>
              <w:spacing w:after="0"/>
              <w:rPr>
                <w:sz w:val="20"/>
                <w:szCs w:val="20"/>
                <w:color w:val="auto"/>
              </w:rPr>
            </w:pPr>
            <w:r>
              <w:rPr>
                <w:rFonts w:ascii="Arial" w:cs="Arial" w:eastAsia="Arial" w:hAnsi="Arial"/>
                <w:sz w:val="18"/>
                <w:szCs w:val="18"/>
                <w:color w:val="auto"/>
                <w:w w:val="99"/>
              </w:rPr>
              <w:t>The acting chair of the General Meeting</w:t>
            </w:r>
          </w:p>
        </w:tc>
        <w:tc>
          <w:tcPr>
            <w:tcW w:w="0" w:type="dxa"/>
            <w:vAlign w:val="bottom"/>
          </w:tcPr>
          <w:p>
            <w:pPr>
              <w:spacing w:after="0"/>
              <w:rPr>
                <w:sz w:val="1"/>
                <w:szCs w:val="1"/>
                <w:color w:val="auto"/>
              </w:rPr>
            </w:pPr>
          </w:p>
        </w:tc>
      </w:tr>
      <w:tr>
        <w:trPr>
          <w:trHeight w:val="203"/>
        </w:trPr>
        <w:tc>
          <w:tcPr>
            <w:tcW w:w="1280" w:type="dxa"/>
            <w:vAlign w:val="bottom"/>
          </w:tcPr>
          <w:p>
            <w:pPr>
              <w:spacing w:after="0"/>
              <w:rPr>
                <w:sz w:val="17"/>
                <w:szCs w:val="17"/>
                <w:color w:val="auto"/>
              </w:rPr>
            </w:pPr>
          </w:p>
        </w:tc>
        <w:tc>
          <w:tcPr>
            <w:tcW w:w="3260" w:type="dxa"/>
            <w:vAlign w:val="bottom"/>
          </w:tcPr>
          <w:p>
            <w:pPr>
              <w:ind w:left="80"/>
              <w:spacing w:after="0" w:line="202" w:lineRule="exact"/>
              <w:rPr>
                <w:sz w:val="20"/>
                <w:szCs w:val="20"/>
                <w:color w:val="auto"/>
              </w:rPr>
            </w:pPr>
            <w:r>
              <w:rPr>
                <w:rFonts w:ascii="Arial" w:cs="Arial" w:eastAsia="Arial" w:hAnsi="Arial"/>
                <w:sz w:val="18"/>
                <w:szCs w:val="18"/>
                <w:color w:val="auto"/>
              </w:rPr>
              <w:t>of Shareholders shall appoint the</w:t>
            </w:r>
          </w:p>
        </w:tc>
        <w:tc>
          <w:tcPr>
            <w:tcW w:w="0" w:type="dxa"/>
            <w:vAlign w:val="bottom"/>
          </w:tcPr>
          <w:p>
            <w:pPr>
              <w:spacing w:after="0"/>
              <w:rPr>
                <w:sz w:val="1"/>
                <w:szCs w:val="1"/>
                <w:color w:val="auto"/>
              </w:rPr>
            </w:pPr>
          </w:p>
        </w:tc>
      </w:tr>
      <w:tr>
        <w:trPr>
          <w:trHeight w:val="203"/>
        </w:trPr>
        <w:tc>
          <w:tcPr>
            <w:tcW w:w="1280" w:type="dxa"/>
            <w:vAlign w:val="bottom"/>
          </w:tcPr>
          <w:p>
            <w:pPr>
              <w:spacing w:after="0"/>
              <w:rPr>
                <w:sz w:val="17"/>
                <w:szCs w:val="17"/>
                <w:color w:val="auto"/>
              </w:rPr>
            </w:pPr>
          </w:p>
        </w:tc>
        <w:tc>
          <w:tcPr>
            <w:tcW w:w="3260" w:type="dxa"/>
            <w:vAlign w:val="bottom"/>
          </w:tcPr>
          <w:p>
            <w:pPr>
              <w:ind w:left="80"/>
              <w:spacing w:after="0" w:line="202" w:lineRule="exact"/>
              <w:rPr>
                <w:sz w:val="20"/>
                <w:szCs w:val="20"/>
                <w:color w:val="auto"/>
              </w:rPr>
            </w:pPr>
            <w:r>
              <w:rPr>
                <w:rFonts w:ascii="Arial" w:cs="Arial" w:eastAsia="Arial" w:hAnsi="Arial"/>
                <w:sz w:val="18"/>
                <w:szCs w:val="18"/>
                <w:color w:val="auto"/>
              </w:rPr>
              <w:t>secretary and the vote counters, none</w:t>
            </w:r>
          </w:p>
        </w:tc>
        <w:tc>
          <w:tcPr>
            <w:tcW w:w="0" w:type="dxa"/>
            <w:vAlign w:val="bottom"/>
          </w:tcPr>
          <w:p>
            <w:pPr>
              <w:spacing w:after="0"/>
              <w:rPr>
                <w:sz w:val="1"/>
                <w:szCs w:val="1"/>
                <w:color w:val="auto"/>
              </w:rPr>
            </w:pPr>
          </w:p>
        </w:tc>
      </w:tr>
      <w:tr>
        <w:trPr>
          <w:trHeight w:val="203"/>
        </w:trPr>
        <w:tc>
          <w:tcPr>
            <w:tcW w:w="1280" w:type="dxa"/>
            <w:vAlign w:val="bottom"/>
          </w:tcPr>
          <w:p>
            <w:pPr>
              <w:spacing w:after="0"/>
              <w:rPr>
                <w:sz w:val="17"/>
                <w:szCs w:val="17"/>
                <w:color w:val="auto"/>
              </w:rPr>
            </w:pPr>
          </w:p>
        </w:tc>
        <w:tc>
          <w:tcPr>
            <w:tcW w:w="3260" w:type="dxa"/>
            <w:vAlign w:val="bottom"/>
          </w:tcPr>
          <w:p>
            <w:pPr>
              <w:ind w:left="80"/>
              <w:spacing w:after="0" w:line="202" w:lineRule="exact"/>
              <w:rPr>
                <w:sz w:val="20"/>
                <w:szCs w:val="20"/>
                <w:color w:val="auto"/>
              </w:rPr>
            </w:pPr>
            <w:r>
              <w:rPr>
                <w:rFonts w:ascii="Arial" w:cs="Arial" w:eastAsia="Arial" w:hAnsi="Arial"/>
                <w:sz w:val="18"/>
                <w:szCs w:val="18"/>
                <w:color w:val="auto"/>
              </w:rPr>
              <w:t>of whom need be shareholders. The</w:t>
            </w:r>
          </w:p>
        </w:tc>
        <w:tc>
          <w:tcPr>
            <w:tcW w:w="0" w:type="dxa"/>
            <w:vAlign w:val="bottom"/>
          </w:tcPr>
          <w:p>
            <w:pPr>
              <w:spacing w:after="0"/>
              <w:rPr>
                <w:sz w:val="1"/>
                <w:szCs w:val="1"/>
                <w:color w:val="auto"/>
              </w:rPr>
            </w:pPr>
          </w:p>
        </w:tc>
      </w:tr>
      <w:tr>
        <w:trPr>
          <w:trHeight w:val="203"/>
        </w:trPr>
        <w:tc>
          <w:tcPr>
            <w:tcW w:w="1280" w:type="dxa"/>
            <w:vAlign w:val="bottom"/>
          </w:tcPr>
          <w:p>
            <w:pPr>
              <w:spacing w:after="0"/>
              <w:rPr>
                <w:sz w:val="17"/>
                <w:szCs w:val="17"/>
                <w:color w:val="auto"/>
              </w:rPr>
            </w:pPr>
          </w:p>
        </w:tc>
        <w:tc>
          <w:tcPr>
            <w:tcW w:w="3260" w:type="dxa"/>
            <w:vAlign w:val="bottom"/>
          </w:tcPr>
          <w:p>
            <w:pPr>
              <w:ind w:left="80"/>
              <w:spacing w:after="0" w:line="202" w:lineRule="exact"/>
              <w:rPr>
                <w:sz w:val="20"/>
                <w:szCs w:val="20"/>
                <w:color w:val="auto"/>
              </w:rPr>
            </w:pPr>
            <w:r>
              <w:rPr>
                <w:rFonts w:ascii="Arial" w:cs="Arial" w:eastAsia="Arial" w:hAnsi="Arial"/>
                <w:sz w:val="18"/>
                <w:szCs w:val="18"/>
                <w:color w:val="auto"/>
              </w:rPr>
              <w:t>minutes of the General Meeting of</w:t>
            </w:r>
          </w:p>
        </w:tc>
        <w:tc>
          <w:tcPr>
            <w:tcW w:w="0" w:type="dxa"/>
            <w:vAlign w:val="bottom"/>
          </w:tcPr>
          <w:p>
            <w:pPr>
              <w:spacing w:after="0"/>
              <w:rPr>
                <w:sz w:val="1"/>
                <w:szCs w:val="1"/>
                <w:color w:val="auto"/>
              </w:rPr>
            </w:pPr>
          </w:p>
        </w:tc>
      </w:tr>
      <w:tr>
        <w:trPr>
          <w:trHeight w:val="203"/>
        </w:trPr>
        <w:tc>
          <w:tcPr>
            <w:tcW w:w="1280" w:type="dxa"/>
            <w:vAlign w:val="bottom"/>
          </w:tcPr>
          <w:p>
            <w:pPr>
              <w:spacing w:after="0"/>
              <w:rPr>
                <w:sz w:val="17"/>
                <w:szCs w:val="17"/>
                <w:color w:val="auto"/>
              </w:rPr>
            </w:pPr>
          </w:p>
        </w:tc>
        <w:tc>
          <w:tcPr>
            <w:tcW w:w="3260" w:type="dxa"/>
            <w:vAlign w:val="bottom"/>
          </w:tcPr>
          <w:p>
            <w:pPr>
              <w:ind w:left="80"/>
              <w:spacing w:after="0" w:line="202" w:lineRule="exact"/>
              <w:rPr>
                <w:sz w:val="20"/>
                <w:szCs w:val="20"/>
                <w:color w:val="auto"/>
              </w:rPr>
            </w:pPr>
            <w:r>
              <w:rPr>
                <w:rFonts w:ascii="Arial" w:cs="Arial" w:eastAsia="Arial" w:hAnsi="Arial"/>
                <w:sz w:val="18"/>
                <w:szCs w:val="18"/>
                <w:color w:val="auto"/>
              </w:rPr>
              <w:t>Shareholders shall be signed by the</w:t>
            </w:r>
          </w:p>
        </w:tc>
        <w:tc>
          <w:tcPr>
            <w:tcW w:w="0" w:type="dxa"/>
            <w:vAlign w:val="bottom"/>
          </w:tcPr>
          <w:p>
            <w:pPr>
              <w:spacing w:after="0"/>
              <w:rPr>
                <w:sz w:val="1"/>
                <w:szCs w:val="1"/>
                <w:color w:val="auto"/>
              </w:rPr>
            </w:pPr>
          </w:p>
        </w:tc>
      </w:tr>
      <w:tr>
        <w:trPr>
          <w:trHeight w:val="239"/>
        </w:trPr>
        <w:tc>
          <w:tcPr>
            <w:tcW w:w="1280" w:type="dxa"/>
            <w:vAlign w:val="bottom"/>
          </w:tcPr>
          <w:p>
            <w:pPr>
              <w:spacing w:after="0"/>
              <w:rPr>
                <w:sz w:val="20"/>
                <w:szCs w:val="20"/>
                <w:color w:val="auto"/>
              </w:rPr>
            </w:pPr>
          </w:p>
        </w:tc>
        <w:tc>
          <w:tcPr>
            <w:tcW w:w="3260" w:type="dxa"/>
            <w:vAlign w:val="bottom"/>
          </w:tcPr>
          <w:p>
            <w:pPr>
              <w:ind w:left="80"/>
              <w:spacing w:after="0"/>
              <w:rPr>
                <w:sz w:val="20"/>
                <w:szCs w:val="20"/>
                <w:color w:val="auto"/>
              </w:rPr>
            </w:pPr>
            <w:r>
              <w:rPr>
                <w:rFonts w:ascii="Arial" w:cs="Arial" w:eastAsia="Arial" w:hAnsi="Arial"/>
                <w:sz w:val="18"/>
                <w:szCs w:val="18"/>
                <w:color w:val="auto"/>
              </w:rPr>
              <w:t>acting chair and the secretary.</w:t>
            </w:r>
          </w:p>
        </w:tc>
        <w:tc>
          <w:tcPr>
            <w:tcW w:w="0" w:type="dxa"/>
            <w:vAlign w:val="bottom"/>
          </w:tcPr>
          <w:p>
            <w:pPr>
              <w:spacing w:after="0"/>
              <w:rPr>
                <w:sz w:val="1"/>
                <w:szCs w:val="1"/>
                <w:color w:val="auto"/>
              </w:rPr>
            </w:pPr>
          </w:p>
        </w:tc>
      </w:tr>
    </w:tbl>
    <w:p>
      <w:pPr>
        <w:spacing w:after="0" w:line="72" w:lineRule="exact"/>
        <w:rPr>
          <w:sz w:val="20"/>
          <w:szCs w:val="20"/>
          <w:color w:val="auto"/>
        </w:rPr>
      </w:pPr>
    </w:p>
    <w:p>
      <w:pPr>
        <w:sectPr>
          <w:pgSz w:w="11900" w:h="16838" w:orient="portrait"/>
          <w:cols w:equalWidth="0" w:num="3">
            <w:col w:w="960" w:space="125"/>
            <w:col w:w="3555" w:space="140"/>
            <w:col w:w="4560"/>
          </w:cols>
          <w:pgMar w:left="1220" w:top="670" w:right="1339" w:bottom="1440" w:gutter="0" w:footer="0" w:header="0"/>
          <w:type w:val="continuous"/>
        </w:sectPr>
      </w:pPr>
    </w:p>
    <w:p>
      <w:pPr>
        <w:ind w:left="1340" w:right="877" w:hanging="255"/>
        <w:spacing w:after="0" w:line="219" w:lineRule="auto"/>
        <w:tabs>
          <w:tab w:leader="none" w:pos="1340" w:val="left"/>
        </w:tabs>
        <w:numPr>
          <w:ilvl w:val="0"/>
          <w:numId w:val="78"/>
        </w:numPr>
        <w:rPr>
          <w:rFonts w:ascii="Arial" w:cs="Arial" w:eastAsia="Arial" w:hAnsi="Arial"/>
          <w:sz w:val="29"/>
          <w:szCs w:val="29"/>
          <w:color w:val="auto"/>
          <w:vertAlign w:val="superscript"/>
        </w:rPr>
      </w:pPr>
      <w:r>
        <w:rPr>
          <w:rFonts w:ascii="Arial" w:cs="Arial" w:eastAsia="Arial" w:hAnsi="Arial"/>
          <w:sz w:val="18"/>
          <w:szCs w:val="18"/>
          <w:color w:val="auto"/>
        </w:rPr>
        <w:t>Der Vorsitzende der Generalversammlung hat sämtliche Leitungsbefugnisse, die für die ordnungsgemässe Durchführung der Generalversammlung nötig und angemessen sind.</w:t>
      </w:r>
    </w:p>
    <w:p>
      <w:pPr>
        <w:spacing w:after="0" w:line="20" w:lineRule="exact"/>
        <w:rPr>
          <w:sz w:val="20"/>
          <w:szCs w:val="20"/>
          <w:color w:val="auto"/>
        </w:rPr>
      </w:pPr>
      <w:r>
        <w:rPr>
          <w:sz w:val="20"/>
          <w:szCs w:val="20"/>
          <w:color w:val="auto"/>
        </w:rPr>
        <w:br w:type="column"/>
      </w:r>
    </w:p>
    <w:p>
      <w:pPr>
        <w:ind w:left="263" w:right="40" w:hanging="263"/>
        <w:spacing w:after="0" w:line="219" w:lineRule="auto"/>
        <w:tabs>
          <w:tab w:leader="none" w:pos="263" w:val="left"/>
        </w:tabs>
        <w:numPr>
          <w:ilvl w:val="0"/>
          <w:numId w:val="79"/>
        </w:numPr>
        <w:rPr>
          <w:rFonts w:ascii="Arial" w:cs="Arial" w:eastAsia="Arial" w:hAnsi="Arial"/>
          <w:sz w:val="29"/>
          <w:szCs w:val="29"/>
          <w:color w:val="auto"/>
          <w:vertAlign w:val="superscript"/>
        </w:rPr>
      </w:pPr>
      <w:r>
        <w:rPr>
          <w:rFonts w:ascii="Arial" w:cs="Arial" w:eastAsia="Arial" w:hAnsi="Arial"/>
          <w:sz w:val="18"/>
          <w:szCs w:val="18"/>
          <w:color w:val="auto"/>
        </w:rPr>
        <w:t>The acting chair of the General Meeting of Shareholders shall have all powers and authority necessary and appropriate to ensure the orderly conduct of the General Meeting of Shareholders.</w:t>
      </w:r>
    </w:p>
    <w:p>
      <w:pPr>
        <w:spacing w:after="0" w:line="74" w:lineRule="exact"/>
        <w:rPr>
          <w:sz w:val="20"/>
          <w:szCs w:val="20"/>
          <w:color w:val="auto"/>
        </w:rPr>
      </w:pPr>
    </w:p>
    <w:p>
      <w:pPr>
        <w:sectPr>
          <w:pgSz w:w="11900" w:h="16838" w:orient="portrait"/>
          <w:cols w:equalWidth="0" w:num="2">
            <w:col w:w="5157" w:space="720"/>
            <w:col w:w="3463"/>
          </w:cols>
          <w:pgMar w:left="1220" w:top="670" w:right="1339" w:bottom="1440" w:gutter="0" w:footer="0" w:header="0"/>
          <w:type w:val="continuous"/>
        </w:sectPr>
      </w:pPr>
    </w:p>
    <w:p>
      <w:pPr>
        <w:ind w:left="1340"/>
        <w:spacing w:after="0"/>
        <w:tabs>
          <w:tab w:leader="none" w:pos="6120" w:val="left"/>
        </w:tabs>
        <w:rPr>
          <w:sz w:val="20"/>
          <w:szCs w:val="20"/>
          <w:color w:val="auto"/>
        </w:rPr>
      </w:pPr>
      <w:r>
        <w:rPr>
          <w:rFonts w:ascii="Arial" w:cs="Arial" w:eastAsia="Arial" w:hAnsi="Arial"/>
          <w:sz w:val="18"/>
          <w:szCs w:val="18"/>
          <w:b w:val="1"/>
          <w:bCs w:val="1"/>
          <w:color w:val="auto"/>
        </w:rPr>
        <w:t>Artikel 16</w:t>
      </w:r>
      <w:r>
        <w:rPr>
          <w:sz w:val="20"/>
          <w:szCs w:val="20"/>
          <w:color w:val="auto"/>
        </w:rPr>
        <w:tab/>
      </w:r>
      <w:r>
        <w:rPr>
          <w:rFonts w:ascii="Arial" w:cs="Arial" w:eastAsia="Arial" w:hAnsi="Arial"/>
          <w:sz w:val="18"/>
          <w:szCs w:val="18"/>
          <w:b w:val="1"/>
          <w:bCs w:val="1"/>
          <w:color w:val="auto"/>
        </w:rPr>
        <w:t>Article 16</w:t>
      </w:r>
    </w:p>
    <w:p>
      <w:pPr>
        <w:sectPr>
          <w:pgSz w:w="11900" w:h="16838" w:orient="portrait"/>
          <w:cols w:equalWidth="0" w:num="1">
            <w:col w:w="9340"/>
          </w:cols>
          <w:pgMar w:left="1220" w:top="670" w:right="1339" w:bottom="1440" w:gutter="0" w:footer="0" w:header="0"/>
          <w:type w:val="continuous"/>
        </w:sectPr>
      </w:pPr>
    </w:p>
    <w:p>
      <w:pPr>
        <w:spacing w:after="0" w:line="235" w:lineRule="exact"/>
        <w:rPr>
          <w:sz w:val="20"/>
          <w:szCs w:val="20"/>
          <w:color w:val="auto"/>
        </w:rPr>
      </w:pPr>
    </w:p>
    <w:p>
      <w:pPr>
        <w:spacing w:after="0" w:line="256" w:lineRule="auto"/>
        <w:rPr>
          <w:sz w:val="20"/>
          <w:szCs w:val="20"/>
          <w:color w:val="auto"/>
        </w:rPr>
      </w:pPr>
      <w:r>
        <w:rPr>
          <w:rFonts w:ascii="Arial" w:cs="Arial" w:eastAsia="Arial" w:hAnsi="Arial"/>
          <w:sz w:val="14"/>
          <w:szCs w:val="14"/>
          <w:color w:val="auto"/>
        </w:rPr>
        <w:t>Recht auf Teilnahme, Vertretung der Aktionäre</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255" w:hanging="255"/>
        <w:spacing w:after="0" w:line="228" w:lineRule="auto"/>
        <w:tabs>
          <w:tab w:leader="none" w:pos="255" w:val="left"/>
        </w:tabs>
        <w:numPr>
          <w:ilvl w:val="0"/>
          <w:numId w:val="80"/>
        </w:numPr>
        <w:rPr>
          <w:rFonts w:ascii="Arial" w:cs="Arial" w:eastAsia="Arial" w:hAnsi="Arial"/>
          <w:sz w:val="29"/>
          <w:szCs w:val="29"/>
          <w:color w:val="auto"/>
          <w:vertAlign w:val="superscript"/>
        </w:rPr>
      </w:pPr>
      <w:r>
        <w:rPr>
          <w:rFonts w:ascii="Arial" w:cs="Arial" w:eastAsia="Arial" w:hAnsi="Arial"/>
          <w:sz w:val="18"/>
          <w:szCs w:val="18"/>
          <w:color w:val="auto"/>
        </w:rPr>
        <w:t>Jeder im Aktienbuch eingetragene Aktionär ist berechtigt, an der Generalversammlung und deren Beschlüssen teilzunehmen. Ein Aktionär kann sich an der Generalversammlung durch einen unabhängigen Stimmrechtsvertreter vertreten lassen, wobei die Vollmacht und die Weisungen an den unabhängigen Stimmrechtsvertreter auch in einer vom Verwaltungsrat von Zeit zu Zeit näher bestimmten elektronischen Form erteilt werden können, oder durch jeden anderen Bevollmächtigten, der jedoch kein Aktionär sein muss. Der</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color w:val="auto"/>
        </w:rPr>
        <w:t>Right to</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Participation</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and</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Representation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-3121025</wp:posOffset>
            </wp:positionH>
            <wp:positionV relativeFrom="paragraph">
              <wp:posOffset>1892300</wp:posOffset>
            </wp:positionV>
            <wp:extent cx="629221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263" w:hanging="263"/>
        <w:spacing w:after="0" w:line="228" w:lineRule="auto"/>
        <w:tabs>
          <w:tab w:leader="none" w:pos="263" w:val="left"/>
        </w:tabs>
        <w:numPr>
          <w:ilvl w:val="0"/>
          <w:numId w:val="81"/>
        </w:numPr>
        <w:rPr>
          <w:rFonts w:ascii="Arial" w:cs="Arial" w:eastAsia="Arial" w:hAnsi="Arial"/>
          <w:sz w:val="29"/>
          <w:szCs w:val="29"/>
          <w:color w:val="auto"/>
          <w:vertAlign w:val="superscript"/>
        </w:rPr>
      </w:pPr>
      <w:r>
        <w:rPr>
          <w:rFonts w:ascii="Arial" w:cs="Arial" w:eastAsia="Arial" w:hAnsi="Arial"/>
          <w:sz w:val="18"/>
          <w:szCs w:val="18"/>
          <w:color w:val="auto"/>
        </w:rPr>
        <w:t>Each shareholder recorded in the share register is entitled to participate at the General Meeting of Shareholders and in any vote taken. The shareholders may be represented by the independent proxy, including, without limitation, by granting proxy and providing instructions to such independent proxy by electronic means, as determined by the Board of Directors from time to time, or by any other proxy who need not be a shareholder. The Board of Directors shall issue the particulars of the right to representation and participation at the General Meeting of</w:t>
      </w:r>
    </w:p>
    <w:p>
      <w:pPr>
        <w:sectPr>
          <w:pgSz w:w="11900" w:h="16838" w:orient="portrait"/>
          <w:cols w:equalWidth="0" w:num="4">
            <w:col w:w="900" w:space="185"/>
            <w:col w:w="3475" w:space="220"/>
            <w:col w:w="960" w:space="137"/>
            <w:col w:w="3463"/>
          </w:cols>
          <w:pgMar w:left="1220" w:top="670" w:right="1339" w:bottom="1440" w:gutter="0" w:footer="0" w:header="0"/>
          <w:type w:val="continuous"/>
        </w:sectPr>
      </w:pPr>
    </w:p>
    <w:bookmarkStart w:id="21" w:name="page22"/>
    <w:bookmarkEnd w:id="21"/>
    <w:p>
      <w:pPr>
        <w:jc w:val="center"/>
        <w:ind w:right="-299"/>
        <w:spacing w:after="0"/>
        <w:rPr>
          <w:sz w:val="20"/>
          <w:szCs w:val="20"/>
          <w:color w:val="auto"/>
        </w:rPr>
      </w:pPr>
      <w:r>
        <w:rPr>
          <w:rFonts w:ascii="Arial" w:cs="Arial" w:eastAsia="Arial" w:hAnsi="Arial"/>
          <w:sz w:val="13"/>
          <w:szCs w:val="13"/>
          <w:color w:val="auto"/>
        </w:rPr>
        <w:t>- 15 -</w:t>
      </w:r>
    </w:p>
    <w:p>
      <w:pPr>
        <w:sectPr>
          <w:pgSz w:w="11900" w:h="16838" w:orient="portrait"/>
          <w:cols w:equalWidth="0" w:num="1">
            <w:col w:w="9340"/>
          </w:cols>
          <w:pgMar w:left="1220" w:top="670"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Verwaltungsrat regelt die Einzelheiten über die Vertretung und Teilnahme an der Generalversammlung in Verfahrensvorschriften, einschliesslich mittels Verfahrensvorschriften in der Einladung zur Generalversammlung oder in den Stimmrechtskarten, die den Aktionären zugestellt werden.</w:t>
      </w:r>
    </w:p>
    <w:p>
      <w:pPr>
        <w:spacing w:after="0" w:line="72" w:lineRule="exact"/>
        <w:rPr>
          <w:sz w:val="20"/>
          <w:szCs w:val="20"/>
          <w:color w:val="auto"/>
        </w:rPr>
      </w:pPr>
    </w:p>
    <w:p>
      <w:pPr>
        <w:ind w:left="1180" w:right="40" w:hanging="271"/>
        <w:spacing w:after="0" w:line="237" w:lineRule="auto"/>
        <w:tabs>
          <w:tab w:leader="none" w:pos="1180" w:val="left"/>
        </w:tabs>
        <w:numPr>
          <w:ilvl w:val="0"/>
          <w:numId w:val="82"/>
        </w:numPr>
        <w:rPr>
          <w:rFonts w:ascii="Arial" w:cs="Arial" w:eastAsia="Arial" w:hAnsi="Arial"/>
          <w:sz w:val="28"/>
          <w:szCs w:val="28"/>
          <w:color w:val="auto"/>
          <w:vertAlign w:val="superscript"/>
        </w:rPr>
      </w:pPr>
      <w:r>
        <w:rPr>
          <w:rFonts w:ascii="Arial" w:cs="Arial" w:eastAsia="Arial" w:hAnsi="Arial"/>
          <w:sz w:val="17"/>
          <w:szCs w:val="17"/>
          <w:color w:val="auto"/>
        </w:rPr>
        <w:t>Die Aktionäre wählen den unabhängigen Stimmrechtsvertreter an einer Generalversammlung für eine Amtszeit bis zum Abschluss der nächsten ordentlichen Generalversammlung. Wiederwahl ist möglich. Ist das Amt des unabhängigen Stimmrechtsvertreters aus irgendeinem Grund vakant, ernennt der Verwaltungsrat den unabhängigen Stimmrechtsvertreter für die nächste Generalversammlung.</w:t>
      </w:r>
    </w:p>
    <w:p>
      <w:pPr>
        <w:spacing w:after="0" w:line="77" w:lineRule="exact"/>
        <w:rPr>
          <w:rFonts w:ascii="Arial" w:cs="Arial" w:eastAsia="Arial" w:hAnsi="Arial"/>
          <w:sz w:val="28"/>
          <w:szCs w:val="28"/>
          <w:color w:val="auto"/>
          <w:vertAlign w:val="superscript"/>
        </w:rPr>
      </w:pPr>
    </w:p>
    <w:p>
      <w:pPr>
        <w:ind w:left="1180"/>
        <w:spacing w:after="0"/>
        <w:rPr>
          <w:rFonts w:ascii="Arial" w:cs="Arial" w:eastAsia="Arial" w:hAnsi="Arial"/>
          <w:sz w:val="28"/>
          <w:szCs w:val="28"/>
          <w:color w:val="auto"/>
          <w:vertAlign w:val="superscript"/>
        </w:rPr>
      </w:pPr>
      <w:r>
        <w:rPr>
          <w:rFonts w:ascii="Arial" w:cs="Arial" w:eastAsia="Arial" w:hAnsi="Arial"/>
          <w:sz w:val="18"/>
          <w:szCs w:val="18"/>
          <w:b w:val="1"/>
          <w:bCs w:val="1"/>
          <w:color w:val="auto"/>
        </w:rPr>
        <w:t>Artikel 17</w:t>
      </w:r>
    </w:p>
    <w:p>
      <w:pPr>
        <w:spacing w:after="0" w:line="112" w:lineRule="exact"/>
        <w:rPr>
          <w:sz w:val="20"/>
          <w:szCs w:val="20"/>
          <w:color w:val="auto"/>
        </w:rPr>
      </w:pPr>
    </w:p>
    <w:p>
      <w:pPr>
        <w:spacing w:after="0"/>
        <w:tabs>
          <w:tab w:leader="none" w:pos="1160" w:val="left"/>
        </w:tabs>
        <w:rPr>
          <w:sz w:val="20"/>
          <w:szCs w:val="20"/>
          <w:color w:val="auto"/>
        </w:rPr>
      </w:pPr>
      <w:r>
        <w:rPr>
          <w:rFonts w:ascii="Arial" w:cs="Arial" w:eastAsia="Arial" w:hAnsi="Arial"/>
          <w:sz w:val="29"/>
          <w:szCs w:val="29"/>
          <w:color w:val="auto"/>
          <w:vertAlign w:val="superscript"/>
        </w:rPr>
        <w:t>Stimmrecht</w:t>
      </w:r>
      <w:r>
        <w:rPr>
          <w:sz w:val="20"/>
          <w:szCs w:val="20"/>
          <w:color w:val="auto"/>
        </w:rPr>
        <w:tab/>
      </w:r>
      <w:r>
        <w:rPr>
          <w:rFonts w:ascii="Arial" w:cs="Arial" w:eastAsia="Arial" w:hAnsi="Arial"/>
          <w:sz w:val="18"/>
          <w:szCs w:val="18"/>
          <w:color w:val="auto"/>
        </w:rPr>
        <w:t>Jede Aktie berechtigt zu einer Stimme.</w:t>
      </w:r>
    </w:p>
    <w:p>
      <w:pPr>
        <w:ind w:left="1180" w:right="280"/>
        <w:spacing w:after="0" w:line="242" w:lineRule="auto"/>
        <w:rPr>
          <w:sz w:val="20"/>
          <w:szCs w:val="20"/>
          <w:color w:val="auto"/>
        </w:rPr>
      </w:pPr>
      <w:r>
        <w:rPr>
          <w:rFonts w:ascii="Arial" w:cs="Arial" w:eastAsia="Arial" w:hAnsi="Arial"/>
          <w:sz w:val="18"/>
          <w:szCs w:val="18"/>
          <w:color w:val="auto"/>
        </w:rPr>
        <w:t>Das Stimmrecht untersteht den Bedingungen von Artikel 7 und 9 dieser Statuten.</w:t>
      </w:r>
    </w:p>
    <w:p>
      <w:pPr>
        <w:spacing w:after="0" w:line="71" w:lineRule="exact"/>
        <w:rPr>
          <w:sz w:val="20"/>
          <w:szCs w:val="20"/>
          <w:color w:val="auto"/>
        </w:rPr>
      </w:pPr>
    </w:p>
    <w:p>
      <w:pPr>
        <w:ind w:left="1180"/>
        <w:spacing w:after="0"/>
        <w:rPr>
          <w:sz w:val="20"/>
          <w:szCs w:val="20"/>
          <w:color w:val="auto"/>
        </w:rPr>
      </w:pPr>
      <w:r>
        <w:rPr>
          <w:rFonts w:ascii="Arial" w:cs="Arial" w:eastAsia="Arial" w:hAnsi="Arial"/>
          <w:sz w:val="18"/>
          <w:szCs w:val="18"/>
          <w:b w:val="1"/>
          <w:bCs w:val="1"/>
          <w:color w:val="auto"/>
        </w:rPr>
        <w:t>Artikel 18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4"/>
          <w:szCs w:val="14"/>
          <w:color w:val="auto"/>
        </w:rPr>
        <w:t>Voting</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Rights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0" w:lineRule="exact"/>
        <w:rPr>
          <w:sz w:val="20"/>
          <w:szCs w:val="20"/>
          <w:color w:val="auto"/>
        </w:rPr>
      </w:pPr>
    </w:p>
    <w:p>
      <w:pPr>
        <w:ind w:left="266" w:right="20"/>
        <w:spacing w:after="0" w:line="244" w:lineRule="auto"/>
        <w:rPr>
          <w:sz w:val="20"/>
          <w:szCs w:val="20"/>
          <w:color w:val="auto"/>
        </w:rPr>
      </w:pPr>
      <w:r>
        <w:rPr>
          <w:rFonts w:ascii="Arial" w:cs="Arial" w:eastAsia="Arial" w:hAnsi="Arial"/>
          <w:sz w:val="18"/>
          <w:szCs w:val="18"/>
          <w:color w:val="auto"/>
        </w:rPr>
        <w:t>Shareholders in procedural rules, including in procedural rules included in the notice of the General Meeting of Shareholders or the proxy cards made available to shareholders.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66" w:right="40" w:hanging="266"/>
        <w:spacing w:after="0" w:line="225" w:lineRule="auto"/>
        <w:tabs>
          <w:tab w:leader="none" w:pos="266" w:val="left"/>
        </w:tabs>
        <w:numPr>
          <w:ilvl w:val="0"/>
          <w:numId w:val="83"/>
        </w:numPr>
        <w:rPr>
          <w:rFonts w:ascii="Arial" w:cs="Arial" w:eastAsia="Arial" w:hAnsi="Arial"/>
          <w:sz w:val="29"/>
          <w:szCs w:val="29"/>
          <w:color w:val="auto"/>
          <w:vertAlign w:val="superscript"/>
        </w:rPr>
      </w:pPr>
      <w:r>
        <w:rPr>
          <w:rFonts w:ascii="Arial" w:cs="Arial" w:eastAsia="Arial" w:hAnsi="Arial"/>
          <w:sz w:val="18"/>
          <w:szCs w:val="18"/>
          <w:color w:val="auto"/>
        </w:rPr>
        <w:t>Shareholders shall elect the independent proxy at a General Meeting of Shareholders for a term of office extending until completion of the next Annual General Meeting. Re-election is possible. If the office of the independent proxy is vacant, for any reason, the Board of Directors shall appoint the independent proxy for the next General Meeting of Shareholders.</w:t>
      </w:r>
    </w:p>
    <w:p>
      <w:pPr>
        <w:spacing w:after="0" w:line="73" w:lineRule="exact"/>
        <w:rPr>
          <w:rFonts w:ascii="Arial" w:cs="Arial" w:eastAsia="Arial" w:hAnsi="Arial"/>
          <w:sz w:val="29"/>
          <w:szCs w:val="29"/>
          <w:color w:val="auto"/>
          <w:vertAlign w:val="superscript"/>
        </w:rPr>
      </w:pPr>
    </w:p>
    <w:p>
      <w:pPr>
        <w:ind w:left="266"/>
        <w:spacing w:after="0"/>
        <w:rPr>
          <w:rFonts w:ascii="Arial" w:cs="Arial" w:eastAsia="Arial" w:hAnsi="Arial"/>
          <w:sz w:val="29"/>
          <w:szCs w:val="29"/>
          <w:color w:val="auto"/>
          <w:vertAlign w:val="superscript"/>
        </w:rPr>
      </w:pPr>
      <w:r>
        <w:rPr>
          <w:rFonts w:ascii="Arial" w:cs="Arial" w:eastAsia="Arial" w:hAnsi="Arial"/>
          <w:sz w:val="18"/>
          <w:szCs w:val="18"/>
          <w:b w:val="1"/>
          <w:bCs w:val="1"/>
          <w:color w:val="auto"/>
        </w:rPr>
        <w:t>Article 17</w:t>
      </w:r>
    </w:p>
    <w:p>
      <w:pPr>
        <w:spacing w:after="0" w:line="225" w:lineRule="exact"/>
        <w:rPr>
          <w:rFonts w:ascii="Arial" w:cs="Arial" w:eastAsia="Arial" w:hAnsi="Arial"/>
          <w:sz w:val="29"/>
          <w:szCs w:val="29"/>
          <w:color w:val="auto"/>
          <w:vertAlign w:val="superscript"/>
        </w:rPr>
      </w:pPr>
    </w:p>
    <w:p>
      <w:pPr>
        <w:ind w:left="266" w:right="200"/>
        <w:spacing w:after="0" w:line="247" w:lineRule="auto"/>
        <w:rPr>
          <w:rFonts w:ascii="Arial" w:cs="Arial" w:eastAsia="Arial" w:hAnsi="Arial"/>
          <w:sz w:val="29"/>
          <w:szCs w:val="29"/>
          <w:color w:val="auto"/>
          <w:vertAlign w:val="superscript"/>
        </w:rPr>
      </w:pPr>
      <w:r>
        <w:rPr>
          <w:rFonts w:ascii="Arial" w:cs="Arial" w:eastAsia="Arial" w:hAnsi="Arial"/>
          <w:sz w:val="18"/>
          <w:szCs w:val="18"/>
          <w:color w:val="auto"/>
        </w:rPr>
        <w:t>Each Share shall convey the right to one vote. The right to vote is subject to the conditions of Articles 7and 9 of these Articles of Association.</w:t>
      </w:r>
    </w:p>
    <w:p>
      <w:pPr>
        <w:spacing w:after="0" w:line="65" w:lineRule="exact"/>
        <w:rPr>
          <w:rFonts w:ascii="Arial" w:cs="Arial" w:eastAsia="Arial" w:hAnsi="Arial"/>
          <w:sz w:val="29"/>
          <w:szCs w:val="29"/>
          <w:color w:val="auto"/>
          <w:vertAlign w:val="superscript"/>
        </w:rPr>
      </w:pPr>
    </w:p>
    <w:p>
      <w:pPr>
        <w:ind w:left="266"/>
        <w:spacing w:after="0"/>
        <w:rPr>
          <w:rFonts w:ascii="Arial" w:cs="Arial" w:eastAsia="Arial" w:hAnsi="Arial"/>
          <w:sz w:val="29"/>
          <w:szCs w:val="29"/>
          <w:color w:val="auto"/>
          <w:vertAlign w:val="superscript"/>
        </w:rPr>
      </w:pPr>
      <w:r>
        <w:rPr>
          <w:rFonts w:ascii="Arial" w:cs="Arial" w:eastAsia="Arial" w:hAnsi="Arial"/>
          <w:sz w:val="18"/>
          <w:szCs w:val="18"/>
          <w:b w:val="1"/>
          <w:bCs w:val="1"/>
          <w:color w:val="auto"/>
        </w:rPr>
        <w:t>Article 18</w:t>
      </w:r>
    </w:p>
    <w:p>
      <w:pPr>
        <w:spacing w:after="0" w:line="200" w:lineRule="exact"/>
        <w:rPr>
          <w:sz w:val="20"/>
          <w:szCs w:val="20"/>
          <w:color w:val="auto"/>
        </w:rPr>
      </w:pPr>
    </w:p>
    <w:p>
      <w:pPr>
        <w:sectPr>
          <w:pgSz w:w="11900" w:h="16838" w:orient="portrait"/>
          <w:cols w:equalWidth="0" w:num="3">
            <w:col w:w="4600" w:space="140"/>
            <w:col w:w="420" w:space="474"/>
            <w:col w:w="3706"/>
          </w:cols>
          <w:pgMar w:left="1220" w:top="670" w:right="1339" w:bottom="1440" w:gutter="0" w:footer="0" w:header="0"/>
          <w:type w:val="continuous"/>
        </w:sectPr>
      </w:pPr>
    </w:p>
    <w:p>
      <w:pPr>
        <w:spacing w:after="0" w:line="35" w:lineRule="exact"/>
        <w:rPr>
          <w:sz w:val="20"/>
          <w:szCs w:val="20"/>
          <w:color w:val="auto"/>
        </w:rPr>
      </w:pPr>
    </w:p>
    <w:p>
      <w:pPr>
        <w:spacing w:after="0" w:line="285" w:lineRule="auto"/>
        <w:rPr>
          <w:sz w:val="20"/>
          <w:szCs w:val="20"/>
          <w:color w:val="auto"/>
        </w:rPr>
      </w:pPr>
      <w:r>
        <w:rPr>
          <w:rFonts w:ascii="Arial" w:cs="Arial" w:eastAsia="Arial" w:hAnsi="Arial"/>
          <w:sz w:val="14"/>
          <w:szCs w:val="14"/>
          <w:color w:val="auto"/>
        </w:rPr>
        <w:t>Beschlüsse 1 und Wahlen</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Die Generalversammlung fasst Beschlüsse und entscheidet Wahlen, soweit das Gesetz oder diese Statuten es nicht anders bestimmen, mit der relativen Mehrheit der abgegebenen Aktienstimmen (wobei Enthaltungen, sog. Broker Nonvotes, leere oder ungültige Stimmen für die Bestimmung des Mehrs nicht berücksichtigt werden).</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tabs>
          <w:tab w:leader="none" w:pos="880" w:val="left"/>
        </w:tabs>
        <w:rPr>
          <w:sz w:val="20"/>
          <w:szCs w:val="20"/>
          <w:color w:val="auto"/>
        </w:rPr>
      </w:pPr>
      <w:r>
        <w:rPr>
          <w:rFonts w:ascii="Arial" w:cs="Arial" w:eastAsia="Arial" w:hAnsi="Arial"/>
          <w:sz w:val="14"/>
          <w:szCs w:val="14"/>
          <w:color w:val="auto"/>
        </w:rPr>
        <w:t>Resolutions</w:t>
        <w:tab/>
        <w:t>1</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and</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Elections</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Unless otherwise required by law or these Articles of Association, the General Meeting of Shareholders shall take resolutions and decide elections upon a relative majority of the votes cast at the General Meeting of Shareholders (whereby abstentions, broker nonvotes, blank or invalid ballots shall be disregarded for purposes of establishing the majority).</w:t>
      </w:r>
    </w:p>
    <w:p>
      <w:pPr>
        <w:spacing w:after="0" w:line="72" w:lineRule="exact"/>
        <w:rPr>
          <w:sz w:val="20"/>
          <w:szCs w:val="20"/>
          <w:color w:val="auto"/>
        </w:rPr>
      </w:pPr>
    </w:p>
    <w:p>
      <w:pPr>
        <w:sectPr>
          <w:pgSz w:w="11900" w:h="16838" w:orient="portrait"/>
          <w:cols w:equalWidth="0" w:num="4">
            <w:col w:w="980" w:space="200"/>
            <w:col w:w="3400" w:space="160"/>
            <w:col w:w="980" w:space="180"/>
            <w:col w:w="3440"/>
          </w:cols>
          <w:pgMar w:left="1220" w:top="670" w:right="1339" w:bottom="1440" w:gutter="0" w:footer="0" w:header="0"/>
          <w:type w:val="continuous"/>
        </w:sectPr>
      </w:pPr>
    </w:p>
    <w:p>
      <w:pPr>
        <w:ind w:left="1180" w:right="314" w:hanging="271"/>
        <w:spacing w:after="0" w:line="226" w:lineRule="auto"/>
        <w:tabs>
          <w:tab w:leader="none" w:pos="1180" w:val="left"/>
        </w:tabs>
        <w:numPr>
          <w:ilvl w:val="0"/>
          <w:numId w:val="84"/>
        </w:numPr>
        <w:rPr>
          <w:rFonts w:ascii="Arial" w:cs="Arial" w:eastAsia="Arial" w:hAnsi="Arial"/>
          <w:sz w:val="29"/>
          <w:szCs w:val="29"/>
          <w:color w:val="auto"/>
          <w:vertAlign w:val="superscript"/>
        </w:rPr>
      </w:pPr>
      <w:r>
        <w:rPr>
          <w:rFonts w:ascii="Arial" w:cs="Arial" w:eastAsia="Arial" w:hAnsi="Arial"/>
          <w:sz w:val="18"/>
          <w:szCs w:val="18"/>
          <w:color w:val="auto"/>
        </w:rPr>
        <w:t>Die Generalversammlung entscheidet über die Wahl von Mitgliedern des Verwaltungsrates nach dem proportionalen Wahlverfahren, wonach diejenige Person, welche die grösste Zahl der abgegebenen Aktienstimmen für einen Verwaltungsratssitz erhält, als für den betreffenden Verwaltungsratssitz gewählt gilt. Aktienstimmen gegen einen Kandidaten, Stimmenthaltungen, sog. Broker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366395</wp:posOffset>
            </wp:positionV>
            <wp:extent cx="629221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266" w:hanging="266"/>
        <w:spacing w:after="0" w:line="225" w:lineRule="auto"/>
        <w:tabs>
          <w:tab w:leader="none" w:pos="266" w:val="left"/>
        </w:tabs>
        <w:numPr>
          <w:ilvl w:val="0"/>
          <w:numId w:val="85"/>
        </w:numPr>
        <w:rPr>
          <w:rFonts w:ascii="Arial" w:cs="Arial" w:eastAsia="Arial" w:hAnsi="Arial"/>
          <w:sz w:val="29"/>
          <w:szCs w:val="29"/>
          <w:color w:val="auto"/>
          <w:vertAlign w:val="superscript"/>
        </w:rPr>
      </w:pPr>
      <w:r>
        <w:rPr>
          <w:rFonts w:ascii="Arial" w:cs="Arial" w:eastAsia="Arial" w:hAnsi="Arial"/>
          <w:sz w:val="18"/>
          <w:szCs w:val="18"/>
          <w:color w:val="auto"/>
        </w:rPr>
        <w:t>The General Meeting of Shareholders shall decide elections of members of the Board of Directors upon a plurality of the votes cast at the General Meeting of Shareholders. A plurality means that the individual who receives the largest number of votes for a board seat is elected to that board seat. Votes against any candidate, abstentions, broker nonvotes, blank or invalid ballots shall</w:t>
      </w:r>
    </w:p>
    <w:p>
      <w:pPr>
        <w:sectPr>
          <w:pgSz w:w="11900" w:h="16838" w:orient="portrait"/>
          <w:cols w:equalWidth="0" w:num="2">
            <w:col w:w="4914" w:space="720"/>
            <w:col w:w="3706"/>
          </w:cols>
          <w:pgMar w:left="1220" w:top="670" w:right="1339" w:bottom="1440" w:gutter="0" w:footer="0" w:header="0"/>
          <w:type w:val="continuous"/>
        </w:sectPr>
      </w:pPr>
    </w:p>
    <w:bookmarkStart w:id="22" w:name="page23"/>
    <w:bookmarkEnd w:id="22"/>
    <w:p>
      <w:pPr>
        <w:jc w:val="center"/>
        <w:ind w:right="-319"/>
        <w:spacing w:after="0"/>
        <w:rPr>
          <w:sz w:val="20"/>
          <w:szCs w:val="20"/>
          <w:color w:val="auto"/>
        </w:rPr>
      </w:pPr>
      <w:r>
        <w:rPr>
          <w:rFonts w:ascii="Arial" w:cs="Arial" w:eastAsia="Arial" w:hAnsi="Arial"/>
          <w:sz w:val="14"/>
          <w:szCs w:val="14"/>
          <w:color w:val="auto"/>
        </w:rPr>
        <w:t>- 16 -</w:t>
      </w:r>
    </w:p>
    <w:p>
      <w:pPr>
        <w:spacing w:after="0" w:line="200" w:lineRule="exact"/>
        <w:rPr>
          <w:sz w:val="20"/>
          <w:szCs w:val="20"/>
          <w:color w:val="auto"/>
        </w:rPr>
      </w:pPr>
    </w:p>
    <w:p>
      <w:pPr>
        <w:spacing w:after="0" w:line="399" w:lineRule="exact"/>
        <w:rPr>
          <w:sz w:val="20"/>
          <w:szCs w:val="20"/>
          <w:color w:val="auto"/>
        </w:rPr>
      </w:pPr>
    </w:p>
    <w:p>
      <w:pPr>
        <w:ind w:left="1180"/>
        <w:spacing w:after="0"/>
        <w:tabs>
          <w:tab w:leader="none" w:pos="5940" w:val="left"/>
        </w:tabs>
        <w:rPr>
          <w:sz w:val="20"/>
          <w:szCs w:val="20"/>
          <w:color w:val="auto"/>
        </w:rPr>
      </w:pPr>
      <w:r>
        <w:rPr>
          <w:rFonts w:ascii="Arial" w:cs="Arial" w:eastAsia="Arial" w:hAnsi="Arial"/>
          <w:sz w:val="18"/>
          <w:szCs w:val="18"/>
          <w:color w:val="auto"/>
        </w:rPr>
        <w:t>Nonvotes, ungültige oder leere Stimmen</w:t>
      </w:r>
      <w:r>
        <w:rPr>
          <w:sz w:val="20"/>
          <w:szCs w:val="20"/>
          <w:color w:val="auto"/>
        </w:rPr>
        <w:tab/>
      </w:r>
      <w:r>
        <w:rPr>
          <w:rFonts w:ascii="Arial" w:cs="Arial" w:eastAsia="Arial" w:hAnsi="Arial"/>
          <w:sz w:val="17"/>
          <w:szCs w:val="17"/>
          <w:color w:val="auto"/>
        </w:rPr>
        <w:t>have no impact on the election of</w:t>
      </w:r>
    </w:p>
    <w:p>
      <w:pPr>
        <w:spacing w:after="0" w:line="9" w:lineRule="exact"/>
        <w:rPr>
          <w:sz w:val="20"/>
          <w:szCs w:val="20"/>
          <w:color w:val="auto"/>
        </w:rPr>
      </w:pPr>
    </w:p>
    <w:p>
      <w:pPr>
        <w:ind w:left="1180"/>
        <w:spacing w:after="0"/>
        <w:tabs>
          <w:tab w:leader="none" w:pos="5940" w:val="left"/>
        </w:tabs>
        <w:rPr>
          <w:sz w:val="20"/>
          <w:szCs w:val="20"/>
          <w:color w:val="auto"/>
        </w:rPr>
      </w:pPr>
      <w:r>
        <w:rPr>
          <w:rFonts w:ascii="Arial" w:cs="Arial" w:eastAsia="Arial" w:hAnsi="Arial"/>
          <w:sz w:val="18"/>
          <w:szCs w:val="18"/>
          <w:color w:val="auto"/>
        </w:rPr>
        <w:t>haben für die Zwecke dieses</w:t>
      </w:r>
      <w:r>
        <w:rPr>
          <w:sz w:val="20"/>
          <w:szCs w:val="20"/>
          <w:color w:val="auto"/>
        </w:rPr>
        <w:tab/>
      </w:r>
      <w:r>
        <w:rPr>
          <w:rFonts w:ascii="Arial" w:cs="Arial" w:eastAsia="Arial" w:hAnsi="Arial"/>
          <w:sz w:val="17"/>
          <w:szCs w:val="17"/>
          <w:color w:val="auto"/>
        </w:rPr>
        <w:t>members of the Board of Directors under</w:t>
      </w:r>
    </w:p>
    <w:p>
      <w:pPr>
        <w:ind w:left="1180"/>
        <w:spacing w:after="0"/>
        <w:tabs>
          <w:tab w:leader="none" w:pos="5940" w:val="left"/>
        </w:tabs>
        <w:rPr>
          <w:sz w:val="20"/>
          <w:szCs w:val="20"/>
          <w:color w:val="auto"/>
        </w:rPr>
      </w:pPr>
      <w:r>
        <w:rPr>
          <w:rFonts w:ascii="Arial" w:cs="Arial" w:eastAsia="Arial" w:hAnsi="Arial"/>
          <w:sz w:val="18"/>
          <w:szCs w:val="18"/>
          <w:color w:val="auto"/>
        </w:rPr>
        <w:t>Artikels 18 Abs. 2 keine Auswirkungen auf</w:t>
      </w:r>
      <w:r>
        <w:rPr>
          <w:sz w:val="20"/>
          <w:szCs w:val="20"/>
          <w:color w:val="auto"/>
        </w:rPr>
        <w:tab/>
      </w:r>
      <w:r>
        <w:rPr>
          <w:rFonts w:ascii="Arial" w:cs="Arial" w:eastAsia="Arial" w:hAnsi="Arial"/>
          <w:sz w:val="17"/>
          <w:szCs w:val="17"/>
          <w:color w:val="auto"/>
        </w:rPr>
        <w:t>this Article 18 para. 2.</w:t>
      </w:r>
    </w:p>
    <w:p>
      <w:pPr>
        <w:ind w:left="1180"/>
        <w:spacing w:after="0" w:line="235" w:lineRule="auto"/>
        <w:rPr>
          <w:sz w:val="20"/>
          <w:szCs w:val="20"/>
          <w:color w:val="auto"/>
        </w:rPr>
      </w:pPr>
      <w:r>
        <w:rPr>
          <w:rFonts w:ascii="Arial" w:cs="Arial" w:eastAsia="Arial" w:hAnsi="Arial"/>
          <w:sz w:val="18"/>
          <w:szCs w:val="18"/>
          <w:color w:val="auto"/>
        </w:rPr>
        <w:t>die Wahl von Mitgliedern des</w:t>
      </w:r>
    </w:p>
    <w:p>
      <w:pPr>
        <w:spacing w:after="0" w:line="1"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Verwaltungsrates.</w:t>
      </w:r>
    </w:p>
    <w:p>
      <w:pPr>
        <w:sectPr>
          <w:pgSz w:w="11900" w:h="16838" w:orient="portrait"/>
          <w:cols w:equalWidth="0" w:num="1">
            <w:col w:w="9320"/>
          </w:cols>
          <w:pgMar w:left="1220" w:top="670" w:right="1359" w:bottom="1440" w:gutter="0" w:footer="0" w:header="0"/>
        </w:sectPr>
      </w:pPr>
    </w:p>
    <w:p>
      <w:pPr>
        <w:spacing w:after="0" w:line="86" w:lineRule="exact"/>
        <w:rPr>
          <w:sz w:val="20"/>
          <w:szCs w:val="20"/>
          <w:color w:val="auto"/>
        </w:rPr>
      </w:pPr>
    </w:p>
    <w:p>
      <w:pPr>
        <w:ind w:left="1180" w:right="528" w:hanging="271"/>
        <w:spacing w:after="0" w:line="200" w:lineRule="auto"/>
        <w:tabs>
          <w:tab w:leader="none" w:pos="1180" w:val="left"/>
        </w:tabs>
        <w:numPr>
          <w:ilvl w:val="0"/>
          <w:numId w:val="86"/>
        </w:numPr>
        <w:rPr>
          <w:rFonts w:ascii="Arial" w:cs="Arial" w:eastAsia="Arial" w:hAnsi="Arial"/>
          <w:sz w:val="29"/>
          <w:szCs w:val="29"/>
          <w:color w:val="auto"/>
          <w:vertAlign w:val="superscript"/>
        </w:rPr>
      </w:pPr>
      <w:r>
        <w:rPr>
          <w:rFonts w:ascii="Arial" w:cs="Arial" w:eastAsia="Arial" w:hAnsi="Arial"/>
          <w:sz w:val="18"/>
          <w:szCs w:val="18"/>
          <w:color w:val="auto"/>
        </w:rPr>
        <w:t>Für die Abwahl von amtierenden Mitgliedern des Verwaltungsrates gilt das Mehrheitserfordernis gemäss</w:t>
      </w:r>
    </w:p>
    <w:p>
      <w:pPr>
        <w:spacing w:after="0" w:line="2" w:lineRule="exact"/>
        <w:rPr>
          <w:rFonts w:ascii="Arial" w:cs="Arial" w:eastAsia="Arial" w:hAnsi="Arial"/>
          <w:sz w:val="29"/>
          <w:szCs w:val="29"/>
          <w:color w:val="auto"/>
          <w:vertAlign w:val="superscript"/>
        </w:rPr>
      </w:pPr>
    </w:p>
    <w:p>
      <w:pPr>
        <w:ind w:left="1180" w:right="568"/>
        <w:spacing w:after="0" w:line="279" w:lineRule="auto"/>
        <w:rPr>
          <w:rFonts w:ascii="Arial" w:cs="Arial" w:eastAsia="Arial" w:hAnsi="Arial"/>
          <w:sz w:val="29"/>
          <w:szCs w:val="29"/>
          <w:color w:val="auto"/>
          <w:vertAlign w:val="superscript"/>
        </w:rPr>
      </w:pPr>
      <w:r>
        <w:rPr>
          <w:rFonts w:ascii="Arial" w:cs="Arial" w:eastAsia="Arial" w:hAnsi="Arial"/>
          <w:sz w:val="17"/>
          <w:szCs w:val="17"/>
          <w:color w:val="auto"/>
        </w:rPr>
        <w:t>Artikel 20 Abs. 2(e) sowie das Präsenzquorum von Artikel 21 Abs. 1(a).</w:t>
      </w:r>
    </w:p>
    <w:p>
      <w:pPr>
        <w:spacing w:after="0" w:line="41" w:lineRule="exact"/>
        <w:rPr>
          <w:sz w:val="20"/>
          <w:szCs w:val="20"/>
          <w:color w:val="auto"/>
        </w:rPr>
      </w:pPr>
    </w:p>
    <w:p>
      <w:pPr>
        <w:ind w:left="1180" w:right="448" w:hanging="271"/>
        <w:spacing w:after="0" w:line="226" w:lineRule="auto"/>
        <w:tabs>
          <w:tab w:leader="none" w:pos="1180" w:val="left"/>
        </w:tabs>
        <w:numPr>
          <w:ilvl w:val="0"/>
          <w:numId w:val="87"/>
        </w:numPr>
        <w:rPr>
          <w:rFonts w:ascii="Arial" w:cs="Arial" w:eastAsia="Arial" w:hAnsi="Arial"/>
          <w:sz w:val="29"/>
          <w:szCs w:val="29"/>
          <w:color w:val="auto"/>
          <w:vertAlign w:val="superscript"/>
        </w:rPr>
      </w:pPr>
      <w:r>
        <w:rPr>
          <w:rFonts w:ascii="Arial" w:cs="Arial" w:eastAsia="Arial" w:hAnsi="Arial"/>
          <w:sz w:val="18"/>
          <w:szCs w:val="18"/>
          <w:color w:val="auto"/>
        </w:rPr>
        <w:t>Die Abstimmungen und Wahlen erfolgen offen, es sei denn, dass die Generalversammlung schriftliche Abstimmung respektive Wahl beschliesst oder der Vorsitzende dies anordnet. Der Vorsitzende kann Abstimmungen und Wahlen auch mittels elektronischem Verfahren durchführen lassen. Elektronische Abstimmungen und Wahlen sind schriftlichen Abstimmen und Wahlen gleichgestellt.</w:t>
      </w:r>
    </w:p>
    <w:p>
      <w:pPr>
        <w:spacing w:after="0" w:line="72" w:lineRule="exact"/>
        <w:rPr>
          <w:sz w:val="20"/>
          <w:szCs w:val="20"/>
          <w:color w:val="auto"/>
        </w:rPr>
      </w:pPr>
    </w:p>
    <w:p>
      <w:pPr>
        <w:ind w:left="1180" w:right="408" w:hanging="271"/>
        <w:spacing w:after="0"/>
        <w:tabs>
          <w:tab w:leader="none" w:pos="1180" w:val="left"/>
        </w:tabs>
        <w:numPr>
          <w:ilvl w:val="0"/>
          <w:numId w:val="88"/>
        </w:numPr>
        <w:rPr>
          <w:rFonts w:ascii="Arial" w:cs="Arial" w:eastAsia="Arial" w:hAnsi="Arial"/>
          <w:sz w:val="28"/>
          <w:szCs w:val="28"/>
          <w:color w:val="auto"/>
          <w:vertAlign w:val="superscript"/>
        </w:rPr>
      </w:pPr>
      <w:r>
        <w:rPr>
          <w:rFonts w:ascii="Arial" w:cs="Arial" w:eastAsia="Arial" w:hAnsi="Arial"/>
          <w:sz w:val="17"/>
          <w:szCs w:val="17"/>
          <w:color w:val="auto"/>
        </w:rPr>
        <w:t>Der Vorsitzende kann eine offene Wahl oder Abstimmung immer durch eine schriftliche oder elektronische wiederholen lassen, sofern nach seiner Meinung Zweifel am Abstimmungsergebnis bestehen. In diesem Fall gilt die vorausgegangene offene Wahl oder Abstimmung als nicht geschehen.</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ind w:left="272" w:right="60" w:hanging="272"/>
        <w:spacing w:after="0" w:line="216" w:lineRule="auto"/>
        <w:tabs>
          <w:tab w:leader="none" w:pos="272" w:val="left"/>
        </w:tabs>
        <w:numPr>
          <w:ilvl w:val="0"/>
          <w:numId w:val="89"/>
        </w:numPr>
        <w:rPr>
          <w:rFonts w:ascii="Arial" w:cs="Arial" w:eastAsia="Arial" w:hAnsi="Arial"/>
          <w:sz w:val="29"/>
          <w:szCs w:val="29"/>
          <w:color w:val="auto"/>
          <w:vertAlign w:val="superscript"/>
        </w:rPr>
      </w:pPr>
      <w:r>
        <w:rPr>
          <w:rFonts w:ascii="Arial" w:cs="Arial" w:eastAsia="Arial" w:hAnsi="Arial"/>
          <w:sz w:val="18"/>
          <w:szCs w:val="18"/>
          <w:color w:val="auto"/>
        </w:rPr>
        <w:t>For the removal of a serving member of the Board of Directors, the voting requirement set forth in Article 20 para. 2(e) and the presence quorum set forth in Article 21 para. 1(a) shall apply.</w:t>
      </w:r>
    </w:p>
    <w:p>
      <w:pPr>
        <w:spacing w:after="0" w:line="75" w:lineRule="exact"/>
        <w:rPr>
          <w:sz w:val="20"/>
          <w:szCs w:val="20"/>
          <w:color w:val="auto"/>
        </w:rPr>
      </w:pPr>
    </w:p>
    <w:p>
      <w:pPr>
        <w:ind w:left="272" w:right="60" w:hanging="272"/>
        <w:spacing w:after="0" w:line="226" w:lineRule="auto"/>
        <w:tabs>
          <w:tab w:leader="none" w:pos="272" w:val="left"/>
        </w:tabs>
        <w:numPr>
          <w:ilvl w:val="0"/>
          <w:numId w:val="90"/>
        </w:numPr>
        <w:rPr>
          <w:rFonts w:ascii="Arial" w:cs="Arial" w:eastAsia="Arial" w:hAnsi="Arial"/>
          <w:sz w:val="29"/>
          <w:szCs w:val="29"/>
          <w:color w:val="auto"/>
          <w:vertAlign w:val="superscript"/>
        </w:rPr>
      </w:pPr>
      <w:r>
        <w:rPr>
          <w:rFonts w:ascii="Arial" w:cs="Arial" w:eastAsia="Arial" w:hAnsi="Arial"/>
          <w:sz w:val="18"/>
          <w:szCs w:val="18"/>
          <w:color w:val="auto"/>
        </w:rPr>
        <w:t>Resolutions and elections shall be decided by a show of hands, unless a written ballot is resolved by the General Meeting of Shareholders or is ordered by the acting chair of the General Meeting of Shareholders. The acting chair may also hold resolutions and elections by use of an electronic voting system. Electronic resolutions and elections shall be considered equal to resolutions and elections taken by way of a written ballot.</w:t>
      </w:r>
    </w:p>
    <w:p>
      <w:pPr>
        <w:spacing w:after="0" w:line="72" w:lineRule="exact"/>
        <w:rPr>
          <w:sz w:val="20"/>
          <w:szCs w:val="20"/>
          <w:color w:val="auto"/>
        </w:rPr>
      </w:pPr>
    </w:p>
    <w:p>
      <w:pPr>
        <w:ind w:left="272" w:right="80" w:hanging="272"/>
        <w:spacing w:after="0" w:line="224" w:lineRule="auto"/>
        <w:tabs>
          <w:tab w:leader="none" w:pos="272" w:val="left"/>
        </w:tabs>
        <w:numPr>
          <w:ilvl w:val="0"/>
          <w:numId w:val="91"/>
        </w:numPr>
        <w:rPr>
          <w:rFonts w:ascii="Arial" w:cs="Arial" w:eastAsia="Arial" w:hAnsi="Arial"/>
          <w:sz w:val="29"/>
          <w:szCs w:val="29"/>
          <w:color w:val="auto"/>
          <w:vertAlign w:val="superscript"/>
        </w:rPr>
      </w:pPr>
      <w:r>
        <w:rPr>
          <w:rFonts w:ascii="Arial" w:cs="Arial" w:eastAsia="Arial" w:hAnsi="Arial"/>
          <w:sz w:val="18"/>
          <w:szCs w:val="18"/>
          <w:color w:val="auto"/>
        </w:rPr>
        <w:t>The chair of the General Meeting of Shareholders may at any time order that an election or resolution decided by a show of hands be repeated by way of a written or electronic ballot if he considers the vote to be in doubt. The resolution or election previously held by a show of hands shall then be deemed to have not taken place.</w:t>
      </w:r>
    </w:p>
    <w:p>
      <w:pPr>
        <w:spacing w:after="0" w:line="74" w:lineRule="exact"/>
        <w:rPr>
          <w:sz w:val="20"/>
          <w:szCs w:val="20"/>
          <w:color w:val="auto"/>
        </w:rPr>
      </w:pPr>
    </w:p>
    <w:p>
      <w:pPr>
        <w:sectPr>
          <w:pgSz w:w="11900" w:h="16838" w:orient="portrait"/>
          <w:cols w:equalWidth="0" w:num="2">
            <w:col w:w="4968" w:space="720"/>
            <w:col w:w="3632"/>
          </w:cols>
          <w:pgMar w:left="1220" w:top="670" w:right="1359" w:bottom="1440" w:gutter="0" w:footer="0" w:header="0"/>
          <w:type w:val="continuous"/>
        </w:sect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4"/>
          <w:szCs w:val="14"/>
          <w:color w:val="auto"/>
        </w:rPr>
        <w:t>Befugnisse</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der</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Generalver-</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sammlung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Artikel 19</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Der Generalversammlung sind folgende</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Geschäfte vorbehalten:</w:t>
      </w:r>
    </w:p>
    <w:p>
      <w:pPr>
        <w:spacing w:after="0" w:line="32" w:lineRule="exact"/>
        <w:rPr>
          <w:sz w:val="20"/>
          <w:szCs w:val="20"/>
          <w:color w:val="auto"/>
        </w:rPr>
      </w:pPr>
    </w:p>
    <w:p>
      <w:pPr>
        <w:ind w:left="560" w:right="140" w:hanging="507"/>
        <w:spacing w:after="0" w:line="266" w:lineRule="auto"/>
        <w:tabs>
          <w:tab w:leader="none" w:pos="5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Die Festsetzung und Änderung dieser Statuten;</w:t>
      </w:r>
    </w:p>
    <w:p>
      <w:pPr>
        <w:ind w:left="560" w:right="40" w:hanging="507"/>
        <w:spacing w:after="0"/>
        <w:tabs>
          <w:tab w:leader="none" w:pos="5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die Wahl der Mitglieder des Verwaltungsrates, des Verwaltungsratspräsidenten, der Mitglieder des Vergütungsausschusses, der Revisionsstelle und des unabhängigen Stimmrechtsvertreters;</w:t>
      </w:r>
    </w:p>
    <w:p>
      <w:pPr>
        <w:spacing w:after="0" w:line="18" w:lineRule="exact"/>
        <w:rPr>
          <w:rFonts w:ascii="Arial" w:cs="Arial" w:eastAsia="Arial" w:hAnsi="Arial"/>
          <w:sz w:val="18"/>
          <w:szCs w:val="18"/>
          <w:color w:val="auto"/>
        </w:rPr>
      </w:pPr>
    </w:p>
    <w:p>
      <w:pPr>
        <w:ind w:left="560" w:right="860" w:hanging="507"/>
        <w:spacing w:after="0" w:line="270" w:lineRule="auto"/>
        <w:tabs>
          <w:tab w:leader="none" w:pos="5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die Genehmigung des Lageberichts und der Konzernrechnung;</w:t>
      </w:r>
    </w:p>
    <w:p>
      <w:pPr>
        <w:spacing w:after="0" w:line="1" w:lineRule="exact"/>
        <w:rPr>
          <w:rFonts w:ascii="Arial" w:cs="Arial" w:eastAsia="Arial" w:hAnsi="Arial"/>
          <w:sz w:val="17"/>
          <w:szCs w:val="17"/>
          <w:color w:val="auto"/>
        </w:rPr>
      </w:pPr>
    </w:p>
    <w:p>
      <w:pPr>
        <w:ind w:left="560" w:right="460" w:hanging="507"/>
        <w:spacing w:after="0" w:line="247" w:lineRule="auto"/>
        <w:tabs>
          <w:tab w:leader="none" w:pos="5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die Genehmigung der Jahresrechnung sowie die Beschlussfassung über die Verwendung des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spacing w:after="0" w:line="256" w:lineRule="auto"/>
        <w:rPr>
          <w:sz w:val="20"/>
          <w:szCs w:val="20"/>
          <w:color w:val="auto"/>
        </w:rPr>
      </w:pPr>
      <w:r>
        <w:rPr>
          <w:rFonts w:ascii="Arial" w:cs="Arial" w:eastAsia="Arial" w:hAnsi="Arial"/>
          <w:sz w:val="14"/>
          <w:szCs w:val="14"/>
          <w:color w:val="auto"/>
        </w:rPr>
        <w:t>Powers of the General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-3070225</wp:posOffset>
            </wp:positionH>
            <wp:positionV relativeFrom="paragraph">
              <wp:posOffset>2527300</wp:posOffset>
            </wp:positionV>
            <wp:extent cx="629221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Article 19</w:t>
      </w:r>
    </w:p>
    <w:p>
      <w:pPr>
        <w:spacing w:after="0" w:line="225" w:lineRule="exact"/>
        <w:rPr>
          <w:sz w:val="20"/>
          <w:szCs w:val="20"/>
          <w:color w:val="auto"/>
        </w:rPr>
      </w:pPr>
    </w:p>
    <w:p>
      <w:pPr>
        <w:jc w:val="both"/>
        <w:ind w:right="420"/>
        <w:spacing w:after="0" w:line="253" w:lineRule="auto"/>
        <w:rPr>
          <w:sz w:val="20"/>
          <w:szCs w:val="20"/>
          <w:color w:val="auto"/>
        </w:rPr>
      </w:pPr>
      <w:r>
        <w:rPr>
          <w:rFonts w:ascii="Arial" w:cs="Arial" w:eastAsia="Arial" w:hAnsi="Arial"/>
          <w:sz w:val="18"/>
          <w:szCs w:val="18"/>
          <w:color w:val="auto"/>
        </w:rPr>
        <w:t>The following powers shall be vested exclusively in the General Meeting of Shareholders:</w:t>
      </w:r>
    </w:p>
    <w:p>
      <w:pPr>
        <w:spacing w:after="0" w:line="7" w:lineRule="exact"/>
        <w:rPr>
          <w:sz w:val="20"/>
          <w:szCs w:val="20"/>
          <w:color w:val="auto"/>
        </w:rPr>
      </w:pPr>
    </w:p>
    <w:p>
      <w:pPr>
        <w:ind w:left="560" w:right="200" w:hanging="467"/>
        <w:spacing w:after="0" w:line="266" w:lineRule="auto"/>
        <w:tabs>
          <w:tab w:leader="none" w:pos="5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adoption and amendment of these Articles of Association;</w:t>
      </w:r>
    </w:p>
    <w:p>
      <w:pPr>
        <w:ind w:left="560" w:hanging="467"/>
        <w:spacing w:after="0" w:line="261" w:lineRule="auto"/>
        <w:tabs>
          <w:tab w:leader="none" w:pos="560" w:val="left"/>
        </w:tabs>
        <w:numPr>
          <w:ilvl w:val="0"/>
          <w:numId w:val="93"/>
        </w:numPr>
        <w:rPr>
          <w:rFonts w:ascii="Arial" w:cs="Arial" w:eastAsia="Arial" w:hAnsi="Arial"/>
          <w:sz w:val="17"/>
          <w:szCs w:val="17"/>
          <w:color w:val="auto"/>
        </w:rPr>
      </w:pPr>
      <w:r>
        <w:rPr>
          <w:rFonts w:ascii="Arial" w:cs="Arial" w:eastAsia="Arial" w:hAnsi="Arial"/>
          <w:sz w:val="17"/>
          <w:szCs w:val="17"/>
          <w:color w:val="auto"/>
        </w:rPr>
        <w:t>the election of the members of the Board of Directors, the Chair of the Board of Directors, the members of the Compensation Committee, the Auditor and the independent proxy;</w:t>
      </w:r>
    </w:p>
    <w:p>
      <w:pPr>
        <w:spacing w:after="0" w:line="3" w:lineRule="exact"/>
        <w:rPr>
          <w:rFonts w:ascii="Arial" w:cs="Arial" w:eastAsia="Arial" w:hAnsi="Arial"/>
          <w:sz w:val="17"/>
          <w:szCs w:val="17"/>
          <w:color w:val="auto"/>
        </w:rPr>
      </w:pPr>
    </w:p>
    <w:p>
      <w:pPr>
        <w:ind w:left="560" w:right="220" w:hanging="467"/>
        <w:spacing w:after="0" w:line="270" w:lineRule="auto"/>
        <w:tabs>
          <w:tab w:leader="none" w:pos="560" w:val="left"/>
        </w:tabs>
        <w:numPr>
          <w:ilvl w:val="0"/>
          <w:numId w:val="93"/>
        </w:numPr>
        <w:rPr>
          <w:rFonts w:ascii="Arial" w:cs="Arial" w:eastAsia="Arial" w:hAnsi="Arial"/>
          <w:sz w:val="17"/>
          <w:szCs w:val="17"/>
          <w:color w:val="auto"/>
        </w:rPr>
      </w:pPr>
      <w:r>
        <w:rPr>
          <w:rFonts w:ascii="Arial" w:cs="Arial" w:eastAsia="Arial" w:hAnsi="Arial"/>
          <w:sz w:val="17"/>
          <w:szCs w:val="17"/>
          <w:color w:val="auto"/>
        </w:rPr>
        <w:t>the approval of the Management Report and the Consolidated Financial Statements;</w:t>
      </w:r>
    </w:p>
    <w:p>
      <w:pPr>
        <w:spacing w:after="0" w:line="1" w:lineRule="exact"/>
        <w:rPr>
          <w:rFonts w:ascii="Arial" w:cs="Arial" w:eastAsia="Arial" w:hAnsi="Arial"/>
          <w:sz w:val="17"/>
          <w:szCs w:val="17"/>
          <w:color w:val="auto"/>
        </w:rPr>
      </w:pPr>
    </w:p>
    <w:p>
      <w:pPr>
        <w:ind w:left="560" w:hanging="467"/>
        <w:spacing w:after="0" w:line="275" w:lineRule="auto"/>
        <w:tabs>
          <w:tab w:leader="none" w:pos="560" w:val="left"/>
        </w:tabs>
        <w:numPr>
          <w:ilvl w:val="0"/>
          <w:numId w:val="93"/>
        </w:numPr>
        <w:rPr>
          <w:rFonts w:ascii="Arial" w:cs="Arial" w:eastAsia="Arial" w:hAnsi="Arial"/>
          <w:sz w:val="17"/>
          <w:szCs w:val="17"/>
          <w:color w:val="auto"/>
        </w:rPr>
      </w:pPr>
      <w:r>
        <w:rPr>
          <w:rFonts w:ascii="Arial" w:cs="Arial" w:eastAsia="Arial" w:hAnsi="Arial"/>
          <w:sz w:val="17"/>
          <w:szCs w:val="17"/>
          <w:color w:val="auto"/>
        </w:rPr>
        <w:t>the approval of the Annual Statutory Financial Statements of the Company and the resolution on</w:t>
      </w:r>
    </w:p>
    <w:p>
      <w:pPr>
        <w:sectPr>
          <w:pgSz w:w="11900" w:h="16838" w:orient="portrait"/>
          <w:cols w:equalWidth="0" w:num="4">
            <w:col w:w="760" w:space="420"/>
            <w:col w:w="3180" w:space="340"/>
            <w:col w:w="860" w:space="400"/>
            <w:col w:w="3360"/>
          </w:cols>
          <w:pgMar w:left="1220" w:top="670" w:right="1359" w:bottom="1440" w:gutter="0" w:footer="0" w:header="0"/>
          <w:type w:val="continuous"/>
        </w:sectPr>
      </w:pPr>
    </w:p>
    <w:bookmarkStart w:id="23" w:name="page24"/>
    <w:bookmarkEnd w:id="23"/>
    <w:p>
      <w:pPr>
        <w:jc w:val="right"/>
        <w:ind w:right="272"/>
        <w:spacing w:after="0"/>
        <w:rPr>
          <w:sz w:val="20"/>
          <w:szCs w:val="20"/>
          <w:color w:val="auto"/>
        </w:rPr>
      </w:pPr>
      <w:r>
        <w:rPr>
          <w:rFonts w:ascii="Arial" w:cs="Arial" w:eastAsia="Arial" w:hAnsi="Arial"/>
          <w:sz w:val="14"/>
          <w:szCs w:val="14"/>
          <w:color w:val="auto"/>
        </w:rPr>
        <w:t>- 17 -</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Bilanzgewinnes, insbesondere die</w:t>
      </w:r>
    </w:p>
    <w:p>
      <w:pPr>
        <w:spacing w:after="0" w:line="14"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Festsetzung der Dividende;</w:t>
      </w:r>
    </w:p>
    <w:p>
      <w:pPr>
        <w:spacing w:after="0" w:line="32" w:lineRule="exact"/>
        <w:rPr>
          <w:sz w:val="20"/>
          <w:szCs w:val="20"/>
          <w:color w:val="auto"/>
        </w:rPr>
      </w:pPr>
    </w:p>
    <w:p>
      <w:pPr>
        <w:ind w:left="1760" w:right="1312" w:hanging="513"/>
        <w:spacing w:after="0" w:line="244" w:lineRule="auto"/>
        <w:tabs>
          <w:tab w:leader="none" w:pos="17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die Festsetzung der Zwischendividende und die Genehmigung des dafür erforderlichen Zwischenabschlusses;</w:t>
      </w:r>
    </w:p>
    <w:p>
      <w:pPr>
        <w:spacing w:after="0" w:line="14" w:lineRule="exact"/>
        <w:rPr>
          <w:rFonts w:ascii="Arial" w:cs="Arial" w:eastAsia="Arial" w:hAnsi="Arial"/>
          <w:sz w:val="18"/>
          <w:szCs w:val="18"/>
          <w:color w:val="auto"/>
        </w:rPr>
      </w:pPr>
    </w:p>
    <w:p>
      <w:pPr>
        <w:jc w:val="both"/>
        <w:ind w:left="1760" w:right="1052" w:hanging="513"/>
        <w:spacing w:after="0" w:line="253" w:lineRule="auto"/>
        <w:tabs>
          <w:tab w:leader="none" w:pos="17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die Beschlussfassung über die Rückzahlung der gesetzlichen Kapitalreserve;</w:t>
      </w:r>
    </w:p>
    <w:p>
      <w:pPr>
        <w:spacing w:after="0" w:line="6" w:lineRule="exact"/>
        <w:rPr>
          <w:rFonts w:ascii="Arial" w:cs="Arial" w:eastAsia="Arial" w:hAnsi="Arial"/>
          <w:sz w:val="18"/>
          <w:szCs w:val="18"/>
          <w:color w:val="auto"/>
        </w:rPr>
      </w:pPr>
    </w:p>
    <w:p>
      <w:pPr>
        <w:ind w:left="1760" w:hanging="513"/>
        <w:spacing w:after="0"/>
        <w:tabs>
          <w:tab w:leader="none" w:pos="17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die Zusammenlegung von Aktien;</w:t>
      </w:r>
    </w:p>
    <w:p>
      <w:pPr>
        <w:spacing w:after="0" w:line="63" w:lineRule="exact"/>
        <w:rPr>
          <w:rFonts w:ascii="Arial" w:cs="Arial" w:eastAsia="Arial" w:hAnsi="Arial"/>
          <w:sz w:val="18"/>
          <w:szCs w:val="18"/>
          <w:color w:val="auto"/>
        </w:rPr>
      </w:pPr>
    </w:p>
    <w:p>
      <w:pPr>
        <w:ind w:left="1760" w:right="892" w:hanging="513"/>
        <w:spacing w:after="0" w:line="265" w:lineRule="auto"/>
        <w:tabs>
          <w:tab w:leader="none" w:pos="1760" w:val="left"/>
        </w:tabs>
        <w:numPr>
          <w:ilvl w:val="0"/>
          <w:numId w:val="94"/>
        </w:numPr>
        <w:rPr>
          <w:rFonts w:ascii="Arial" w:cs="Arial" w:eastAsia="Arial" w:hAnsi="Arial"/>
          <w:sz w:val="17"/>
          <w:szCs w:val="17"/>
          <w:color w:val="auto"/>
        </w:rPr>
      </w:pPr>
      <w:r>
        <w:rPr>
          <w:rFonts w:ascii="Arial" w:cs="Arial" w:eastAsia="Arial" w:hAnsi="Arial"/>
          <w:sz w:val="17"/>
          <w:szCs w:val="17"/>
          <w:color w:val="auto"/>
        </w:rPr>
        <w:t>die Genehmigung der Vergütung des Verwaltungsrates und der Geschäftsleitung gemäss Artikel 29a dieser Statuten;</w:t>
      </w:r>
    </w:p>
    <w:p>
      <w:pPr>
        <w:ind w:left="1760" w:right="872" w:hanging="513"/>
        <w:spacing w:after="0" w:line="253" w:lineRule="auto"/>
        <w:tabs>
          <w:tab w:leader="none" w:pos="17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die Entlastung der Mitglieder des Verwaltungsrates und der Geschäftsleitung;</w:t>
      </w:r>
    </w:p>
    <w:p>
      <w:pPr>
        <w:spacing w:after="0" w:line="6" w:lineRule="exact"/>
        <w:rPr>
          <w:rFonts w:ascii="Arial" w:cs="Arial" w:eastAsia="Arial" w:hAnsi="Arial"/>
          <w:sz w:val="18"/>
          <w:szCs w:val="18"/>
          <w:color w:val="auto"/>
        </w:rPr>
      </w:pPr>
    </w:p>
    <w:p>
      <w:pPr>
        <w:ind w:left="1760" w:right="772" w:hanging="513"/>
        <w:spacing w:after="0" w:line="261" w:lineRule="auto"/>
        <w:tabs>
          <w:tab w:leader="none" w:pos="1760" w:val="left"/>
        </w:tabs>
        <w:numPr>
          <w:ilvl w:val="0"/>
          <w:numId w:val="94"/>
        </w:numPr>
        <w:rPr>
          <w:rFonts w:ascii="Arial" w:cs="Arial" w:eastAsia="Arial" w:hAnsi="Arial"/>
          <w:sz w:val="17"/>
          <w:szCs w:val="17"/>
          <w:color w:val="auto"/>
        </w:rPr>
      </w:pPr>
      <w:r>
        <w:rPr>
          <w:rFonts w:ascii="Arial" w:cs="Arial" w:eastAsia="Arial" w:hAnsi="Arial"/>
          <w:sz w:val="17"/>
          <w:szCs w:val="17"/>
          <w:color w:val="auto"/>
        </w:rPr>
        <w:t>die Genehmigung eines Zusammenschlusses mit einem Nahestehenden Aktionär (gemäss der Definition dieser Begriffe in Artikel 35 dieser Statuten);</w:t>
      </w:r>
    </w:p>
    <w:p>
      <w:pPr>
        <w:spacing w:after="0" w:line="3" w:lineRule="exact"/>
        <w:rPr>
          <w:rFonts w:ascii="Arial" w:cs="Arial" w:eastAsia="Arial" w:hAnsi="Arial"/>
          <w:sz w:val="17"/>
          <w:szCs w:val="17"/>
          <w:color w:val="auto"/>
        </w:rPr>
      </w:pPr>
    </w:p>
    <w:p>
      <w:pPr>
        <w:ind w:left="1760" w:right="1592" w:hanging="513"/>
        <w:spacing w:after="0" w:line="253" w:lineRule="auto"/>
        <w:tabs>
          <w:tab w:leader="none" w:pos="17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die Dekotierung der Beteiligungspapiere der Gesellschaft;</w:t>
      </w:r>
    </w:p>
    <w:p>
      <w:pPr>
        <w:spacing w:after="0" w:line="6" w:lineRule="exact"/>
        <w:rPr>
          <w:rFonts w:ascii="Arial" w:cs="Arial" w:eastAsia="Arial" w:hAnsi="Arial"/>
          <w:sz w:val="18"/>
          <w:szCs w:val="18"/>
          <w:color w:val="auto"/>
        </w:rPr>
      </w:pPr>
    </w:p>
    <w:p>
      <w:pPr>
        <w:ind w:left="1760" w:right="612" w:hanging="513"/>
        <w:spacing w:after="0" w:line="253" w:lineRule="auto"/>
        <w:tabs>
          <w:tab w:leader="none" w:pos="17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die Genehmigung des Berichts über nichtfinanzielle Belange nach Artikel 964c OR; und</w:t>
      </w:r>
    </w:p>
    <w:p>
      <w:pPr>
        <w:spacing w:after="0" w:line="6" w:lineRule="exact"/>
        <w:rPr>
          <w:rFonts w:ascii="Arial" w:cs="Arial" w:eastAsia="Arial" w:hAnsi="Arial"/>
          <w:sz w:val="18"/>
          <w:szCs w:val="18"/>
          <w:color w:val="auto"/>
        </w:rPr>
      </w:pPr>
    </w:p>
    <w:p>
      <w:pPr>
        <w:ind w:left="1760" w:right="652" w:hanging="513"/>
        <w:spacing w:after="0"/>
        <w:tabs>
          <w:tab w:leader="none" w:pos="17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die Beschlussfassung über die Gegenstände, die der Generalversammlung durch das Gesetz oder die Statuten vorbehalten sind oder ihr, vorbehältlich Artikel 716a OR, durch den Verwaltungsrat vorgelegt werden.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468" w:right="60"/>
        <w:spacing w:after="0" w:line="247" w:lineRule="auto"/>
        <w:rPr>
          <w:sz w:val="20"/>
          <w:szCs w:val="20"/>
          <w:color w:val="auto"/>
        </w:rPr>
      </w:pPr>
      <w:r>
        <w:rPr>
          <w:rFonts w:ascii="Arial" w:cs="Arial" w:eastAsia="Arial" w:hAnsi="Arial"/>
          <w:sz w:val="18"/>
          <w:szCs w:val="18"/>
          <w:color w:val="auto"/>
        </w:rPr>
        <w:t>the allocation of profit shown on the Annual Statutory Balance Sheet, in particular the determination of any dividend;</w:t>
      </w:r>
    </w:p>
    <w:p>
      <w:pPr>
        <w:spacing w:after="0" w:line="12" w:lineRule="exact"/>
        <w:rPr>
          <w:sz w:val="20"/>
          <w:szCs w:val="20"/>
          <w:color w:val="auto"/>
        </w:rPr>
      </w:pPr>
    </w:p>
    <w:p>
      <w:pPr>
        <w:ind w:left="468" w:hanging="468"/>
        <w:spacing w:after="0" w:line="247" w:lineRule="auto"/>
        <w:tabs>
          <w:tab w:leader="none" w:pos="468"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determination of interim dividends and the approval of interim financial statements required for such purposes;</w:t>
      </w:r>
    </w:p>
    <w:p>
      <w:pPr>
        <w:spacing w:after="0" w:line="11" w:lineRule="exact"/>
        <w:rPr>
          <w:rFonts w:ascii="Arial" w:cs="Arial" w:eastAsia="Arial" w:hAnsi="Arial"/>
          <w:sz w:val="18"/>
          <w:szCs w:val="18"/>
          <w:color w:val="auto"/>
        </w:rPr>
      </w:pPr>
    </w:p>
    <w:p>
      <w:pPr>
        <w:ind w:left="468" w:right="220" w:hanging="468"/>
        <w:spacing w:after="0" w:line="253" w:lineRule="auto"/>
        <w:tabs>
          <w:tab w:leader="none" w:pos="468"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resolution regarding the repayment of the statutory capital reserve;</w:t>
      </w:r>
    </w:p>
    <w:p>
      <w:pPr>
        <w:spacing w:after="0" w:line="6" w:lineRule="exact"/>
        <w:rPr>
          <w:rFonts w:ascii="Arial" w:cs="Arial" w:eastAsia="Arial" w:hAnsi="Arial"/>
          <w:sz w:val="18"/>
          <w:szCs w:val="18"/>
          <w:color w:val="auto"/>
        </w:rPr>
      </w:pPr>
    </w:p>
    <w:p>
      <w:pPr>
        <w:ind w:left="468" w:hanging="468"/>
        <w:spacing w:after="0"/>
        <w:tabs>
          <w:tab w:leader="none" w:pos="468"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combination of Shares;</w:t>
      </w:r>
    </w:p>
    <w:p>
      <w:pPr>
        <w:spacing w:after="0" w:line="63" w:lineRule="exact"/>
        <w:rPr>
          <w:rFonts w:ascii="Arial" w:cs="Arial" w:eastAsia="Arial" w:hAnsi="Arial"/>
          <w:sz w:val="18"/>
          <w:szCs w:val="18"/>
          <w:color w:val="auto"/>
        </w:rPr>
      </w:pPr>
    </w:p>
    <w:p>
      <w:pPr>
        <w:ind w:left="468" w:right="100" w:hanging="468"/>
        <w:spacing w:after="0" w:line="261" w:lineRule="auto"/>
        <w:tabs>
          <w:tab w:leader="none" w:pos="468"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ratification of the compensation of the Board of Directors and the Executive Management Team pursuant to Article 29a of these Articles of Association;</w:t>
      </w:r>
    </w:p>
    <w:p>
      <w:pPr>
        <w:spacing w:after="0" w:line="3" w:lineRule="exact"/>
        <w:rPr>
          <w:rFonts w:ascii="Arial" w:cs="Arial" w:eastAsia="Arial" w:hAnsi="Arial"/>
          <w:sz w:val="17"/>
          <w:szCs w:val="17"/>
          <w:color w:val="auto"/>
        </w:rPr>
      </w:pPr>
    </w:p>
    <w:p>
      <w:pPr>
        <w:ind w:left="468" w:right="140" w:hanging="468"/>
        <w:spacing w:after="0" w:line="247" w:lineRule="auto"/>
        <w:tabs>
          <w:tab w:leader="none" w:pos="468"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discharge from liability of the members of the Board of Directors and the Executive Management Team;</w:t>
      </w:r>
    </w:p>
    <w:p>
      <w:pPr>
        <w:spacing w:after="0" w:line="11" w:lineRule="exact"/>
        <w:rPr>
          <w:rFonts w:ascii="Arial" w:cs="Arial" w:eastAsia="Arial" w:hAnsi="Arial"/>
          <w:sz w:val="18"/>
          <w:szCs w:val="18"/>
          <w:color w:val="auto"/>
        </w:rPr>
      </w:pPr>
    </w:p>
    <w:p>
      <w:pPr>
        <w:ind w:left="468" w:right="140" w:hanging="468"/>
        <w:spacing w:after="0" w:line="244" w:lineRule="auto"/>
        <w:tabs>
          <w:tab w:leader="none" w:pos="468"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approval of a Business Combination with an Interested Shareholder (as each such term is defined in Article 35 of these Articles of Association);</w:t>
      </w:r>
    </w:p>
    <w:p>
      <w:pPr>
        <w:spacing w:after="0" w:line="14" w:lineRule="exact"/>
        <w:rPr>
          <w:rFonts w:ascii="Arial" w:cs="Arial" w:eastAsia="Arial" w:hAnsi="Arial"/>
          <w:sz w:val="18"/>
          <w:szCs w:val="18"/>
          <w:color w:val="auto"/>
        </w:rPr>
      </w:pPr>
    </w:p>
    <w:p>
      <w:pPr>
        <w:ind w:left="468" w:right="480" w:hanging="468"/>
        <w:spacing w:after="0" w:line="266" w:lineRule="auto"/>
        <w:tabs>
          <w:tab w:leader="none" w:pos="468"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delisting of the Company's equity securities;</w:t>
      </w:r>
    </w:p>
    <w:p>
      <w:pPr>
        <w:ind w:left="468" w:right="220" w:hanging="468"/>
        <w:spacing w:after="0" w:line="253" w:lineRule="auto"/>
        <w:tabs>
          <w:tab w:leader="none" w:pos="468"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approval of the report on non-financial matters pursuant to article 964c CO; and</w:t>
      </w:r>
    </w:p>
    <w:p>
      <w:pPr>
        <w:spacing w:after="0" w:line="6" w:lineRule="exact"/>
        <w:rPr>
          <w:rFonts w:ascii="Arial" w:cs="Arial" w:eastAsia="Arial" w:hAnsi="Arial"/>
          <w:sz w:val="18"/>
          <w:szCs w:val="18"/>
          <w:color w:val="auto"/>
        </w:rPr>
      </w:pPr>
    </w:p>
    <w:p>
      <w:pPr>
        <w:ind w:left="468" w:hanging="468"/>
        <w:spacing w:after="0"/>
        <w:tabs>
          <w:tab w:leader="none" w:pos="468"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adoption of resolutions on matters that are reserved to the General Meeting of Shareholders by law, these Articles of Association or, subject to article 716a CO, that are submitted to the General Meeting of Shareholders by the Board of Directors.</w:t>
      </w:r>
    </w:p>
    <w:p>
      <w:pPr>
        <w:spacing w:after="0" w:line="72" w:lineRule="exact"/>
        <w:rPr>
          <w:sz w:val="20"/>
          <w:szCs w:val="20"/>
          <w:color w:val="auto"/>
        </w:rPr>
      </w:pPr>
    </w:p>
    <w:p>
      <w:pPr>
        <w:sectPr>
          <w:pgSz w:w="11900" w:h="16838" w:orient="portrait"/>
          <w:cols w:equalWidth="0" w:num="2">
            <w:col w:w="5252" w:space="720"/>
            <w:col w:w="3348"/>
          </w:cols>
          <w:pgMar w:left="1220" w:top="670" w:right="1359" w:bottom="0" w:gutter="0" w:footer="0" w:header="0"/>
        </w:sectPr>
      </w:pPr>
    </w:p>
    <w:p>
      <w:pPr>
        <w:spacing w:after="0" w:line="200" w:lineRule="exact"/>
        <w:rPr>
          <w:sz w:val="20"/>
          <w:szCs w:val="20"/>
          <w:color w:val="auto"/>
        </w:rPr>
      </w:pPr>
    </w:p>
    <w:p>
      <w:pPr>
        <w:spacing w:after="0" w:line="242" w:lineRule="exact"/>
        <w:rPr>
          <w:sz w:val="20"/>
          <w:szCs w:val="20"/>
          <w:color w:val="auto"/>
        </w:rPr>
      </w:pPr>
    </w:p>
    <w:p>
      <w:pPr>
        <w:spacing w:after="0" w:line="285" w:lineRule="auto"/>
        <w:rPr>
          <w:sz w:val="20"/>
          <w:szCs w:val="20"/>
          <w:color w:val="auto"/>
        </w:rPr>
      </w:pPr>
      <w:r>
        <w:rPr>
          <w:rFonts w:ascii="Arial" w:cs="Arial" w:eastAsia="Arial" w:hAnsi="Arial"/>
          <w:sz w:val="14"/>
          <w:szCs w:val="14"/>
          <w:color w:val="auto"/>
        </w:rPr>
        <w:t>Besonderes 1 Quorum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Artikel 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Ein Beschluss der Generalversammlung, der mindestens zwei Drittel der an der Generalversammlung vertretenen Stimmen und die absolute Mehrheit der an der Generalversammlung vertretenen Aktiennennwerte auf sich vereinigt, ist erforderlich für: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4"/>
          <w:szCs w:val="14"/>
          <w:color w:val="auto"/>
        </w:rPr>
        <w:t>Special</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Vote</w:t>
      </w:r>
    </w:p>
    <w:p>
      <w:pPr>
        <w:spacing w:after="0" w:line="20" w:lineRule="exact"/>
        <w:rPr>
          <w:sz w:val="20"/>
          <w:szCs w:val="20"/>
          <w:color w:val="auto"/>
        </w:rPr>
      </w:pPr>
      <w:r>
        <w:rPr>
          <w:sz w:val="20"/>
          <w:szCs w:val="20"/>
          <w:color w:val="auto"/>
        </w:rPr>
        <w:br w:type="column"/>
      </w:r>
    </w:p>
    <w:p>
      <w:pPr>
        <w:ind w:left="273"/>
        <w:spacing w:after="0"/>
        <w:rPr>
          <w:sz w:val="20"/>
          <w:szCs w:val="20"/>
          <w:color w:val="auto"/>
        </w:rPr>
      </w:pPr>
      <w:r>
        <w:rPr>
          <w:rFonts w:ascii="Arial" w:cs="Arial" w:eastAsia="Arial" w:hAnsi="Arial"/>
          <w:sz w:val="18"/>
          <w:szCs w:val="18"/>
          <w:b w:val="1"/>
          <w:bCs w:val="1"/>
          <w:color w:val="auto"/>
        </w:rPr>
        <w:t>Article 20</w:t>
      </w:r>
    </w:p>
    <w:p>
      <w:pPr>
        <w:spacing w:after="0" w:line="225" w:lineRule="exact"/>
        <w:rPr>
          <w:sz w:val="20"/>
          <w:szCs w:val="20"/>
          <w:color w:val="auto"/>
        </w:rPr>
      </w:pPr>
    </w:p>
    <w:p>
      <w:pPr>
        <w:ind w:left="273" w:right="80" w:hanging="273"/>
        <w:spacing w:after="0" w:line="216" w:lineRule="auto"/>
        <w:tabs>
          <w:tab w:leader="none" w:pos="273" w:val="left"/>
        </w:tabs>
        <w:numPr>
          <w:ilvl w:val="0"/>
          <w:numId w:val="96"/>
        </w:numPr>
        <w:rPr>
          <w:rFonts w:ascii="Arial" w:cs="Arial" w:eastAsia="Arial" w:hAnsi="Arial"/>
          <w:sz w:val="29"/>
          <w:szCs w:val="29"/>
          <w:color w:val="auto"/>
          <w:vertAlign w:val="superscript"/>
        </w:rPr>
      </w:pPr>
      <w:r>
        <w:rPr>
          <w:rFonts w:ascii="Arial" w:cs="Arial" w:eastAsia="Arial" w:hAnsi="Arial"/>
          <w:sz w:val="18"/>
          <w:szCs w:val="18"/>
          <w:color w:val="auto"/>
        </w:rPr>
        <w:t>The approval of at least two-thirds of the votes and the absolute majority of the par value of Shares, each as represented at a General Meeting of Shareholders, shall be required for resolutions with respect to:</w:t>
      </w:r>
    </w:p>
    <w:p>
      <w:pPr>
        <w:spacing w:after="0" w:line="21" w:lineRule="exact"/>
        <w:rPr>
          <w:rFonts w:ascii="Arial" w:cs="Arial" w:eastAsia="Arial" w:hAnsi="Arial"/>
          <w:sz w:val="29"/>
          <w:szCs w:val="29"/>
          <w:color w:val="auto"/>
          <w:vertAlign w:val="superscript"/>
        </w:rPr>
      </w:pPr>
    </w:p>
    <w:p>
      <w:pPr>
        <w:ind w:left="833" w:right="160" w:hanging="468"/>
        <w:spacing w:after="0" w:line="247" w:lineRule="auto"/>
        <w:tabs>
          <w:tab w:leader="none" w:pos="833" w:val="left"/>
        </w:tabs>
        <w:numPr>
          <w:ilvl w:val="1"/>
          <w:numId w:val="96"/>
        </w:numPr>
        <w:rPr>
          <w:rFonts w:ascii="Arial" w:cs="Arial" w:eastAsia="Arial" w:hAnsi="Arial"/>
          <w:sz w:val="18"/>
          <w:szCs w:val="18"/>
          <w:color w:val="auto"/>
        </w:rPr>
      </w:pPr>
      <w:r>
        <w:rPr>
          <w:rFonts w:ascii="Arial" w:cs="Arial" w:eastAsia="Arial" w:hAnsi="Arial"/>
          <w:sz w:val="18"/>
          <w:szCs w:val="18"/>
          <w:color w:val="auto"/>
        </w:rPr>
        <w:t>The amendment or modification of the purpose of the Company as described in Article 2 of these Articles of Association;</w:t>
      </w:r>
    </w:p>
    <w:p>
      <w:pPr>
        <w:spacing w:after="0" w:line="11" w:lineRule="exact"/>
        <w:rPr>
          <w:rFonts w:ascii="Arial" w:cs="Arial" w:eastAsia="Arial" w:hAnsi="Arial"/>
          <w:sz w:val="18"/>
          <w:szCs w:val="18"/>
          <w:color w:val="auto"/>
        </w:rPr>
      </w:pPr>
    </w:p>
    <w:p>
      <w:pPr>
        <w:ind w:left="833" w:right="80" w:hanging="468"/>
        <w:spacing w:after="0" w:line="266" w:lineRule="auto"/>
        <w:tabs>
          <w:tab w:leader="none" w:pos="833" w:val="left"/>
        </w:tabs>
        <w:numPr>
          <w:ilvl w:val="1"/>
          <w:numId w:val="96"/>
        </w:numPr>
        <w:rPr>
          <w:rFonts w:ascii="Arial" w:cs="Arial" w:eastAsia="Arial" w:hAnsi="Arial"/>
          <w:sz w:val="18"/>
          <w:szCs w:val="18"/>
          <w:color w:val="auto"/>
        </w:rPr>
      </w:pPr>
      <w:r>
        <w:rPr>
          <w:rFonts w:ascii="Arial" w:cs="Arial" w:eastAsia="Arial" w:hAnsi="Arial"/>
          <w:sz w:val="18"/>
          <w:szCs w:val="18"/>
          <w:color w:val="auto"/>
        </w:rPr>
        <w:t>the combination of Shares listed on a stock exchange;</w:t>
      </w:r>
    </w:p>
    <w:p>
      <w:pPr>
        <w:jc w:val="both"/>
        <w:ind w:left="833" w:right="80" w:hanging="468"/>
        <w:spacing w:after="0" w:line="281" w:lineRule="auto"/>
        <w:tabs>
          <w:tab w:leader="none" w:pos="833" w:val="left"/>
        </w:tabs>
        <w:numPr>
          <w:ilvl w:val="1"/>
          <w:numId w:val="96"/>
        </w:numPr>
        <w:rPr>
          <w:rFonts w:ascii="Arial" w:cs="Arial" w:eastAsia="Arial" w:hAnsi="Arial"/>
          <w:sz w:val="17"/>
          <w:szCs w:val="17"/>
          <w:color w:val="auto"/>
        </w:rPr>
      </w:pPr>
      <w:r>
        <w:rPr>
          <w:rFonts w:ascii="Arial" w:cs="Arial" w:eastAsia="Arial" w:hAnsi="Arial"/>
          <w:sz w:val="17"/>
          <w:szCs w:val="17"/>
          <w:color w:val="auto"/>
        </w:rPr>
        <w:t>the creation and the cancelation of shares with privileged voting rights;</w:t>
      </w:r>
    </w:p>
    <w:p>
      <w:pPr>
        <w:spacing w:after="0" w:line="1" w:lineRule="exact"/>
        <w:rPr>
          <w:rFonts w:ascii="Arial" w:cs="Arial" w:eastAsia="Arial" w:hAnsi="Arial"/>
          <w:sz w:val="17"/>
          <w:szCs w:val="17"/>
          <w:color w:val="auto"/>
        </w:rPr>
      </w:pPr>
    </w:p>
    <w:p>
      <w:pPr>
        <w:ind w:left="833" w:right="140" w:hanging="468"/>
        <w:spacing w:after="0" w:line="253" w:lineRule="auto"/>
        <w:tabs>
          <w:tab w:leader="none" w:pos="833" w:val="left"/>
        </w:tabs>
        <w:numPr>
          <w:ilvl w:val="1"/>
          <w:numId w:val="96"/>
        </w:numPr>
        <w:rPr>
          <w:rFonts w:ascii="Arial" w:cs="Arial" w:eastAsia="Arial" w:hAnsi="Arial"/>
          <w:sz w:val="18"/>
          <w:szCs w:val="18"/>
          <w:color w:val="auto"/>
        </w:rPr>
      </w:pPr>
      <w:r>
        <w:rPr>
          <w:rFonts w:ascii="Arial" w:cs="Arial" w:eastAsia="Arial" w:hAnsi="Arial"/>
          <w:sz w:val="18"/>
          <w:szCs w:val="18"/>
          <w:color w:val="auto"/>
        </w:rPr>
        <w:t>the restriction on the transferability of Shares and the cancelation of such restriction;</w:t>
      </w:r>
    </w:p>
    <w:p>
      <w:pPr>
        <w:spacing w:after="0" w:line="6" w:lineRule="exact"/>
        <w:rPr>
          <w:rFonts w:ascii="Arial" w:cs="Arial" w:eastAsia="Arial" w:hAnsi="Arial"/>
          <w:sz w:val="18"/>
          <w:szCs w:val="18"/>
          <w:color w:val="auto"/>
        </w:rPr>
      </w:pPr>
    </w:p>
    <w:p>
      <w:pPr>
        <w:ind w:left="833" w:right="40" w:hanging="468"/>
        <w:spacing w:after="0" w:line="253" w:lineRule="auto"/>
        <w:tabs>
          <w:tab w:leader="none" w:pos="833" w:val="left"/>
        </w:tabs>
        <w:numPr>
          <w:ilvl w:val="1"/>
          <w:numId w:val="96"/>
        </w:numPr>
        <w:rPr>
          <w:rFonts w:ascii="Arial" w:cs="Arial" w:eastAsia="Arial" w:hAnsi="Arial"/>
          <w:sz w:val="18"/>
          <w:szCs w:val="18"/>
          <w:color w:val="auto"/>
        </w:rPr>
      </w:pPr>
      <w:r>
        <w:rPr>
          <w:rFonts w:ascii="Arial" w:cs="Arial" w:eastAsia="Arial" w:hAnsi="Arial"/>
          <w:sz w:val="18"/>
          <w:szCs w:val="18"/>
          <w:color w:val="auto"/>
        </w:rPr>
        <w:t>the restriction on the exercise of the right to vote and the cancelation of such restriction;</w:t>
      </w:r>
    </w:p>
    <w:p>
      <w:pPr>
        <w:spacing w:after="0" w:line="6" w:lineRule="exact"/>
        <w:rPr>
          <w:rFonts w:ascii="Arial" w:cs="Arial" w:eastAsia="Arial" w:hAnsi="Arial"/>
          <w:sz w:val="18"/>
          <w:szCs w:val="18"/>
          <w:color w:val="auto"/>
        </w:rPr>
      </w:pPr>
    </w:p>
    <w:p>
      <w:pPr>
        <w:ind w:left="833" w:right="360" w:hanging="468"/>
        <w:spacing w:after="0" w:line="253" w:lineRule="auto"/>
        <w:tabs>
          <w:tab w:leader="none" w:pos="833" w:val="left"/>
        </w:tabs>
        <w:numPr>
          <w:ilvl w:val="1"/>
          <w:numId w:val="96"/>
        </w:numPr>
        <w:rPr>
          <w:rFonts w:ascii="Arial" w:cs="Arial" w:eastAsia="Arial" w:hAnsi="Arial"/>
          <w:sz w:val="18"/>
          <w:szCs w:val="18"/>
          <w:color w:val="auto"/>
        </w:rPr>
      </w:pPr>
      <w:r>
        <w:rPr>
          <w:rFonts w:ascii="Arial" w:cs="Arial" w:eastAsia="Arial" w:hAnsi="Arial"/>
          <w:sz w:val="18"/>
          <w:szCs w:val="18"/>
          <w:color w:val="auto"/>
        </w:rPr>
        <w:t>the introduction of or the amendment to a capital band or conditional share capital;</w:t>
      </w:r>
    </w:p>
    <w:p>
      <w:pPr>
        <w:spacing w:after="0" w:line="6" w:lineRule="exact"/>
        <w:rPr>
          <w:rFonts w:ascii="Arial" w:cs="Arial" w:eastAsia="Arial" w:hAnsi="Arial"/>
          <w:sz w:val="18"/>
          <w:szCs w:val="18"/>
          <w:color w:val="auto"/>
        </w:rPr>
      </w:pPr>
    </w:p>
    <w:p>
      <w:pPr>
        <w:ind w:left="833" w:right="60" w:hanging="468"/>
        <w:spacing w:after="0" w:line="266" w:lineRule="auto"/>
        <w:tabs>
          <w:tab w:leader="none" w:pos="833" w:val="left"/>
        </w:tabs>
        <w:numPr>
          <w:ilvl w:val="1"/>
          <w:numId w:val="96"/>
        </w:numPr>
        <w:rPr>
          <w:rFonts w:ascii="Arial" w:cs="Arial" w:eastAsia="Arial" w:hAnsi="Arial"/>
          <w:sz w:val="18"/>
          <w:szCs w:val="18"/>
          <w:color w:val="auto"/>
        </w:rPr>
      </w:pPr>
      <w:r>
        <w:rPr>
          <w:rFonts w:ascii="Arial" w:cs="Arial" w:eastAsia="Arial" w:hAnsi="Arial"/>
          <w:sz w:val="18"/>
          <w:szCs w:val="18"/>
          <w:color w:val="auto"/>
        </w:rPr>
        <w:t>the change of currency of the share capital;</w:t>
      </w:r>
    </w:p>
    <w:p>
      <w:pPr>
        <w:ind w:left="833" w:right="480" w:hanging="468"/>
        <w:spacing w:after="0" w:line="266" w:lineRule="auto"/>
        <w:tabs>
          <w:tab w:leader="none" w:pos="833" w:val="left"/>
        </w:tabs>
        <w:numPr>
          <w:ilvl w:val="1"/>
          <w:numId w:val="96"/>
        </w:numPr>
        <w:rPr>
          <w:rFonts w:ascii="Arial" w:cs="Arial" w:eastAsia="Arial" w:hAnsi="Arial"/>
          <w:sz w:val="18"/>
          <w:szCs w:val="18"/>
          <w:color w:val="auto"/>
        </w:rPr>
      </w:pPr>
      <w:r>
        <w:rPr>
          <w:rFonts w:ascii="Arial" w:cs="Arial" w:eastAsia="Arial" w:hAnsi="Arial"/>
          <w:sz w:val="18"/>
          <w:szCs w:val="18"/>
          <w:color w:val="auto"/>
        </w:rPr>
        <w:t>the delisting of the Company's equity securities;</w:t>
      </w:r>
    </w:p>
    <w:p>
      <w:pPr>
        <w:ind w:left="833" w:hanging="468"/>
        <w:spacing w:after="0"/>
        <w:tabs>
          <w:tab w:leader="none" w:pos="833" w:val="left"/>
        </w:tabs>
        <w:numPr>
          <w:ilvl w:val="1"/>
          <w:numId w:val="96"/>
        </w:numPr>
        <w:rPr>
          <w:rFonts w:ascii="Arial" w:cs="Arial" w:eastAsia="Arial" w:hAnsi="Arial"/>
          <w:sz w:val="18"/>
          <w:szCs w:val="18"/>
          <w:color w:val="auto"/>
        </w:rPr>
      </w:pPr>
      <w:r>
        <w:rPr>
          <w:rFonts w:ascii="Arial" w:cs="Arial" w:eastAsia="Arial" w:hAnsi="Arial"/>
          <w:sz w:val="18"/>
          <w:szCs w:val="18"/>
          <w:color w:val="auto"/>
        </w:rPr>
        <w:t>an increase in share capital</w:t>
      </w:r>
    </w:p>
    <w:p>
      <w:pPr>
        <w:spacing w:after="0" w:line="13" w:lineRule="exact"/>
        <w:rPr>
          <w:rFonts w:ascii="Arial" w:cs="Arial" w:eastAsia="Arial" w:hAnsi="Arial"/>
          <w:sz w:val="18"/>
          <w:szCs w:val="18"/>
          <w:color w:val="auto"/>
        </w:rPr>
      </w:pPr>
    </w:p>
    <w:p>
      <w:pPr>
        <w:ind w:left="833"/>
        <w:spacing w:after="0"/>
        <w:rPr>
          <w:rFonts w:ascii="Arial" w:cs="Arial" w:eastAsia="Arial" w:hAnsi="Arial"/>
          <w:sz w:val="18"/>
          <w:szCs w:val="18"/>
          <w:color w:val="auto"/>
        </w:rPr>
      </w:pPr>
      <w:r>
        <w:rPr>
          <w:rFonts w:ascii="Arial" w:cs="Arial" w:eastAsia="Arial" w:hAnsi="Arial"/>
          <w:sz w:val="18"/>
          <w:szCs w:val="18"/>
          <w:color w:val="auto"/>
        </w:rPr>
        <w:t>(i) through the conversion of capital</w:t>
      </w:r>
    </w:p>
    <w:p>
      <w:pPr>
        <w:sectPr>
          <w:pgSz w:w="11900" w:h="16838" w:orient="portrait"/>
          <w:cols w:equalWidth="0" w:num="4">
            <w:col w:w="1000" w:space="200"/>
            <w:col w:w="3440" w:space="140"/>
            <w:col w:w="460" w:space="367"/>
            <w:col w:w="3713"/>
          </w:cols>
          <w:pgMar w:left="1220" w:top="670" w:right="1359" w:bottom="0" w:gutter="0" w:footer="0" w:header="0"/>
          <w:type w:val="continuous"/>
        </w:sectPr>
      </w:pPr>
    </w:p>
    <w:bookmarkStart w:id="24" w:name="page25"/>
    <w:bookmarkEnd w:id="24"/>
    <w:p>
      <w:pPr>
        <w:ind w:left="6220"/>
        <w:spacing w:after="0"/>
        <w:rPr>
          <w:sz w:val="20"/>
          <w:szCs w:val="20"/>
          <w:color w:val="auto"/>
        </w:rPr>
      </w:pPr>
      <w:r>
        <w:rPr>
          <w:rFonts w:ascii="Arial" w:cs="Arial" w:eastAsia="Arial" w:hAnsi="Arial"/>
          <w:sz w:val="18"/>
          <w:szCs w:val="18"/>
          <w:color w:val="auto"/>
        </w:rPr>
        <w:t>surplus, (ii) through contribution in</w:t>
      </w:r>
    </w:p>
    <w:p>
      <w:pPr>
        <w:spacing w:after="0" w:line="8"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kind, or (iii) the granting of special</w:t>
      </w:r>
    </w:p>
    <w:p>
      <w:pPr>
        <w:ind w:left="6220"/>
        <w:spacing w:after="0"/>
        <w:rPr>
          <w:sz w:val="20"/>
          <w:szCs w:val="20"/>
          <w:color w:val="auto"/>
        </w:rPr>
      </w:pPr>
      <w:r>
        <w:rPr>
          <w:rFonts w:ascii="Arial" w:cs="Arial" w:eastAsia="Arial" w:hAnsi="Arial"/>
          <w:sz w:val="18"/>
          <w:szCs w:val="18"/>
          <w:color w:val="auto"/>
        </w:rPr>
        <w:t>privileges;</w:t>
      </w:r>
    </w:p>
    <w:p>
      <w:pPr>
        <w:spacing w:after="0" w:line="32" w:lineRule="exact"/>
        <w:rPr>
          <w:sz w:val="20"/>
          <w:szCs w:val="20"/>
          <w:color w:val="auto"/>
        </w:rPr>
      </w:pPr>
    </w:p>
    <w:p>
      <w:pPr>
        <w:ind w:left="6220" w:right="240" w:hanging="468"/>
        <w:spacing w:after="0" w:line="266" w:lineRule="auto"/>
        <w:tabs>
          <w:tab w:leader="none" w:pos="62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limitation on or withdrawal of preemptive rights;</w:t>
      </w:r>
    </w:p>
    <w:p>
      <w:pPr>
        <w:ind w:left="6220" w:right="380" w:hanging="468"/>
        <w:spacing w:after="0" w:line="281" w:lineRule="auto"/>
        <w:tabs>
          <w:tab w:leader="none" w:pos="6220" w:val="left"/>
        </w:tabs>
        <w:numPr>
          <w:ilvl w:val="0"/>
          <w:numId w:val="97"/>
        </w:numPr>
        <w:rPr>
          <w:rFonts w:ascii="Arial" w:cs="Arial" w:eastAsia="Arial" w:hAnsi="Arial"/>
          <w:sz w:val="17"/>
          <w:szCs w:val="17"/>
          <w:color w:val="auto"/>
        </w:rPr>
      </w:pPr>
      <w:r>
        <w:rPr>
          <w:rFonts w:ascii="Arial" w:cs="Arial" w:eastAsia="Arial" w:hAnsi="Arial"/>
          <w:sz w:val="17"/>
          <w:szCs w:val="17"/>
          <w:color w:val="auto"/>
        </w:rPr>
        <w:t>the relocation of the registered office of the Company;</w:t>
      </w:r>
    </w:p>
    <w:p>
      <w:pPr>
        <w:spacing w:after="0" w:line="1" w:lineRule="exact"/>
        <w:rPr>
          <w:rFonts w:ascii="Arial" w:cs="Arial" w:eastAsia="Arial" w:hAnsi="Arial"/>
          <w:sz w:val="17"/>
          <w:szCs w:val="17"/>
          <w:color w:val="auto"/>
        </w:rPr>
      </w:pPr>
    </w:p>
    <w:p>
      <w:pPr>
        <w:ind w:left="6220" w:hanging="468"/>
        <w:spacing w:after="0" w:line="281" w:lineRule="auto"/>
        <w:tabs>
          <w:tab w:leader="none" w:pos="6220" w:val="left"/>
        </w:tabs>
        <w:numPr>
          <w:ilvl w:val="0"/>
          <w:numId w:val="97"/>
        </w:numPr>
        <w:rPr>
          <w:rFonts w:ascii="Arial" w:cs="Arial" w:eastAsia="Arial" w:hAnsi="Arial"/>
          <w:sz w:val="17"/>
          <w:szCs w:val="17"/>
          <w:color w:val="auto"/>
        </w:rPr>
      </w:pPr>
      <w:r>
        <w:rPr>
          <w:rFonts w:ascii="Arial" w:cs="Arial" w:eastAsia="Arial" w:hAnsi="Arial"/>
          <w:sz w:val="17"/>
          <w:szCs w:val="17"/>
          <w:color w:val="auto"/>
        </w:rPr>
        <w:t>the conversion of registered shares into bearer shares and vice versa;</w:t>
      </w:r>
    </w:p>
    <w:p>
      <w:pPr>
        <w:spacing w:after="0" w:line="1" w:lineRule="exact"/>
        <w:rPr>
          <w:rFonts w:ascii="Arial" w:cs="Arial" w:eastAsia="Arial" w:hAnsi="Arial"/>
          <w:sz w:val="17"/>
          <w:szCs w:val="17"/>
          <w:color w:val="auto"/>
        </w:rPr>
      </w:pPr>
    </w:p>
    <w:p>
      <w:pPr>
        <w:ind w:left="6220" w:right="280" w:hanging="468"/>
        <w:spacing w:after="0" w:line="253" w:lineRule="auto"/>
        <w:tabs>
          <w:tab w:leader="none" w:pos="62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introduction of an arbitration agreement in the Articles of Association; and</w:t>
      </w:r>
    </w:p>
    <w:p>
      <w:pPr>
        <w:spacing w:after="0" w:line="6" w:lineRule="exact"/>
        <w:rPr>
          <w:rFonts w:ascii="Arial" w:cs="Arial" w:eastAsia="Arial" w:hAnsi="Arial"/>
          <w:sz w:val="18"/>
          <w:szCs w:val="18"/>
          <w:color w:val="auto"/>
        </w:rPr>
      </w:pPr>
    </w:p>
    <w:p>
      <w:pPr>
        <w:ind w:left="6220" w:hanging="468"/>
        <w:spacing w:after="0"/>
        <w:tabs>
          <w:tab w:leader="none" w:pos="62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dissolution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-225425</wp:posOffset>
            </wp:positionH>
            <wp:positionV relativeFrom="paragraph">
              <wp:posOffset>394970</wp:posOffset>
            </wp:positionV>
            <wp:extent cx="629221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020"/>
          </w:cols>
          <w:pgMar w:left="1440" w:top="121" w:right="1439" w:bottom="1440" w:gutter="0" w:footer="0" w:header="0"/>
        </w:sectPr>
      </w:pPr>
    </w:p>
    <w:bookmarkStart w:id="25" w:name="page26"/>
    <w:bookmarkEnd w:id="25"/>
    <w:p>
      <w:pPr>
        <w:jc w:val="right"/>
        <w:spacing w:after="0"/>
        <w:rPr>
          <w:sz w:val="20"/>
          <w:szCs w:val="20"/>
          <w:color w:val="auto"/>
        </w:rPr>
      </w:pPr>
      <w:r>
        <w:rPr>
          <w:rFonts w:ascii="Arial" w:cs="Arial" w:eastAsia="Arial" w:hAnsi="Arial"/>
          <w:sz w:val="14"/>
          <w:szCs w:val="14"/>
          <w:color w:val="auto"/>
        </w:rPr>
        <w:t>- 18 -</w:t>
      </w:r>
    </w:p>
    <w:p>
      <w:pPr>
        <w:spacing w:after="0" w:line="200" w:lineRule="exact"/>
        <w:rPr>
          <w:sz w:val="20"/>
          <w:szCs w:val="20"/>
          <w:color w:val="auto"/>
        </w:rPr>
      </w:pPr>
    </w:p>
    <w:p>
      <w:pPr>
        <w:spacing w:after="0" w:line="399" w:lineRule="exact"/>
        <w:rPr>
          <w:sz w:val="20"/>
          <w:szCs w:val="20"/>
          <w:color w:val="auto"/>
        </w:rPr>
      </w:pPr>
    </w:p>
    <w:p>
      <w:pPr>
        <w:ind w:left="1540" w:right="440" w:hanging="513"/>
        <w:spacing w:after="0" w:line="253" w:lineRule="auto"/>
        <w:tabs>
          <w:tab w:leader="none" w:pos="15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Die Ergänzung oder Änderung des Gesellschaftszweckes gemäss Artikel 2 dieser Statuten;</w:t>
      </w:r>
    </w:p>
    <w:p>
      <w:pPr>
        <w:spacing w:after="0" w:line="6" w:lineRule="exact"/>
        <w:rPr>
          <w:rFonts w:ascii="Arial" w:cs="Arial" w:eastAsia="Arial" w:hAnsi="Arial"/>
          <w:sz w:val="18"/>
          <w:szCs w:val="18"/>
          <w:color w:val="auto"/>
        </w:rPr>
      </w:pPr>
    </w:p>
    <w:p>
      <w:pPr>
        <w:ind w:left="1540" w:right="540" w:hanging="513"/>
        <w:spacing w:after="0" w:line="266" w:lineRule="auto"/>
        <w:tabs>
          <w:tab w:leader="none" w:pos="15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die Zusammenlegung von Aktien, die an einer Börse kotiert sind;</w:t>
      </w:r>
    </w:p>
    <w:p>
      <w:pPr>
        <w:ind w:left="1540" w:right="660" w:hanging="513"/>
        <w:spacing w:after="0" w:line="281" w:lineRule="auto"/>
        <w:tabs>
          <w:tab w:leader="none" w:pos="1540" w:val="left"/>
        </w:tabs>
        <w:numPr>
          <w:ilvl w:val="0"/>
          <w:numId w:val="98"/>
        </w:numPr>
        <w:rPr>
          <w:rFonts w:ascii="Arial" w:cs="Arial" w:eastAsia="Arial" w:hAnsi="Arial"/>
          <w:sz w:val="17"/>
          <w:szCs w:val="17"/>
          <w:color w:val="auto"/>
        </w:rPr>
      </w:pPr>
      <w:r>
        <w:rPr>
          <w:rFonts w:ascii="Arial" w:cs="Arial" w:eastAsia="Arial" w:hAnsi="Arial"/>
          <w:sz w:val="17"/>
          <w:szCs w:val="17"/>
          <w:color w:val="auto"/>
        </w:rPr>
        <w:t>die Einführung und Abschaffung von Stimmrechtsaktien;</w:t>
      </w:r>
    </w:p>
    <w:p>
      <w:pPr>
        <w:spacing w:after="0" w:line="1" w:lineRule="exact"/>
        <w:rPr>
          <w:rFonts w:ascii="Arial" w:cs="Arial" w:eastAsia="Arial" w:hAnsi="Arial"/>
          <w:sz w:val="17"/>
          <w:szCs w:val="17"/>
          <w:color w:val="auto"/>
        </w:rPr>
      </w:pPr>
    </w:p>
    <w:p>
      <w:pPr>
        <w:ind w:left="1540" w:right="480" w:hanging="513"/>
        <w:spacing w:after="0" w:line="247" w:lineRule="auto"/>
        <w:tabs>
          <w:tab w:leader="none" w:pos="15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die Beschränkung der Übertragbarkeit der Aktien und die Aufhebung einer solche Beschränkung;</w:t>
      </w:r>
    </w:p>
    <w:p>
      <w:pPr>
        <w:spacing w:after="0" w:line="11" w:lineRule="exact"/>
        <w:rPr>
          <w:rFonts w:ascii="Arial" w:cs="Arial" w:eastAsia="Arial" w:hAnsi="Arial"/>
          <w:sz w:val="18"/>
          <w:szCs w:val="18"/>
          <w:color w:val="auto"/>
        </w:rPr>
      </w:pPr>
    </w:p>
    <w:p>
      <w:pPr>
        <w:ind w:left="1540" w:right="600" w:hanging="513"/>
        <w:spacing w:after="0" w:line="247" w:lineRule="auto"/>
        <w:tabs>
          <w:tab w:leader="none" w:pos="15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die Beschränkung der Ausübung des Stimmrechts und die Aufhebung einer solchen Beschränkung;</w:t>
      </w:r>
    </w:p>
    <w:p>
      <w:pPr>
        <w:spacing w:after="0" w:line="11" w:lineRule="exact"/>
        <w:rPr>
          <w:rFonts w:ascii="Arial" w:cs="Arial" w:eastAsia="Arial" w:hAnsi="Arial"/>
          <w:sz w:val="18"/>
          <w:szCs w:val="18"/>
          <w:color w:val="auto"/>
        </w:rPr>
      </w:pPr>
    </w:p>
    <w:p>
      <w:pPr>
        <w:ind w:left="1540" w:right="460" w:hanging="513"/>
        <w:spacing w:after="0" w:line="253" w:lineRule="auto"/>
        <w:tabs>
          <w:tab w:leader="none" w:pos="15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die Einführung oder Änderung eines Kapitalbands oder eines/des bedingten Kapitals;</w:t>
      </w:r>
    </w:p>
    <w:p>
      <w:pPr>
        <w:spacing w:after="0" w:line="6" w:lineRule="exact"/>
        <w:rPr>
          <w:rFonts w:ascii="Arial" w:cs="Arial" w:eastAsia="Arial" w:hAnsi="Arial"/>
          <w:sz w:val="18"/>
          <w:szCs w:val="18"/>
          <w:color w:val="auto"/>
        </w:rPr>
      </w:pPr>
    </w:p>
    <w:p>
      <w:pPr>
        <w:ind w:left="1540" w:right="760" w:hanging="513"/>
        <w:spacing w:after="0" w:line="266" w:lineRule="auto"/>
        <w:tabs>
          <w:tab w:leader="none" w:pos="15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den Wechsel der Währung des Aktienkapitals;</w:t>
      </w:r>
    </w:p>
    <w:p>
      <w:pPr>
        <w:ind w:left="1540" w:right="1320" w:hanging="513"/>
        <w:spacing w:after="0" w:line="253" w:lineRule="auto"/>
        <w:tabs>
          <w:tab w:leader="none" w:pos="15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die Dekotierung der Beteiligungspapiere der Gesellschaft;</w:t>
      </w:r>
    </w:p>
    <w:p>
      <w:pPr>
        <w:spacing w:after="0" w:line="6" w:lineRule="exact"/>
        <w:rPr>
          <w:rFonts w:ascii="Arial" w:cs="Arial" w:eastAsia="Arial" w:hAnsi="Arial"/>
          <w:sz w:val="18"/>
          <w:szCs w:val="18"/>
          <w:color w:val="auto"/>
        </w:rPr>
      </w:pPr>
    </w:p>
    <w:p>
      <w:pPr>
        <w:ind w:left="1540" w:right="340" w:hanging="513"/>
        <w:spacing w:after="0" w:line="247" w:lineRule="auto"/>
        <w:tabs>
          <w:tab w:leader="none" w:pos="15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die Kapitalerhöhung (i) aus Eigenkapital, (ii) gegen Sacheinlage oder (iii) die Gewährung von besonderen Vorteilen;</w:t>
      </w:r>
    </w:p>
    <w:p>
      <w:pPr>
        <w:spacing w:after="0" w:line="11" w:lineRule="exact"/>
        <w:rPr>
          <w:rFonts w:ascii="Arial" w:cs="Arial" w:eastAsia="Arial" w:hAnsi="Arial"/>
          <w:sz w:val="18"/>
          <w:szCs w:val="18"/>
          <w:color w:val="auto"/>
        </w:rPr>
      </w:pPr>
    </w:p>
    <w:p>
      <w:pPr>
        <w:ind w:left="1540" w:right="400" w:hanging="513"/>
        <w:spacing w:after="0" w:line="266" w:lineRule="auto"/>
        <w:tabs>
          <w:tab w:leader="none" w:pos="15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die Einschränkung oder Aufhebung des Bezugsrechts;</w:t>
      </w:r>
    </w:p>
    <w:p>
      <w:pPr>
        <w:ind w:left="1540" w:right="920" w:hanging="513"/>
        <w:spacing w:after="0" w:line="266" w:lineRule="auto"/>
        <w:tabs>
          <w:tab w:leader="none" w:pos="15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die Verlegung des Sitzes der Gesellschaft;</w:t>
      </w:r>
    </w:p>
    <w:p>
      <w:pPr>
        <w:ind w:left="1540" w:right="660" w:hanging="513"/>
        <w:spacing w:after="0" w:line="281" w:lineRule="auto"/>
        <w:tabs>
          <w:tab w:leader="none" w:pos="1540" w:val="left"/>
        </w:tabs>
        <w:numPr>
          <w:ilvl w:val="0"/>
          <w:numId w:val="98"/>
        </w:numPr>
        <w:rPr>
          <w:rFonts w:ascii="Arial" w:cs="Arial" w:eastAsia="Arial" w:hAnsi="Arial"/>
          <w:sz w:val="17"/>
          <w:szCs w:val="17"/>
          <w:color w:val="auto"/>
        </w:rPr>
      </w:pPr>
      <w:r>
        <w:rPr>
          <w:rFonts w:ascii="Arial" w:cs="Arial" w:eastAsia="Arial" w:hAnsi="Arial"/>
          <w:sz w:val="17"/>
          <w:szCs w:val="17"/>
          <w:color w:val="auto"/>
        </w:rPr>
        <w:t>die Umwandlung von Namen- in Inhaberaktien und umgekehrt;</w:t>
      </w:r>
    </w:p>
    <w:p>
      <w:pPr>
        <w:spacing w:after="0" w:line="1" w:lineRule="exact"/>
        <w:rPr>
          <w:rFonts w:ascii="Arial" w:cs="Arial" w:eastAsia="Arial" w:hAnsi="Arial"/>
          <w:sz w:val="17"/>
          <w:szCs w:val="17"/>
          <w:color w:val="auto"/>
        </w:rPr>
      </w:pPr>
    </w:p>
    <w:p>
      <w:pPr>
        <w:ind w:left="1540" w:right="440" w:hanging="513"/>
        <w:spacing w:after="0" w:line="266" w:lineRule="auto"/>
        <w:tabs>
          <w:tab w:leader="none" w:pos="15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die Einführung einer statutarischen Schiedsklausel; und</w:t>
      </w:r>
    </w:p>
    <w:p>
      <w:pPr>
        <w:ind w:left="1540" w:hanging="513"/>
        <w:spacing w:after="0"/>
        <w:tabs>
          <w:tab w:leader="none" w:pos="15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die Auflösung der Gesellschaft.</w:t>
      </w:r>
    </w:p>
    <w:p>
      <w:pPr>
        <w:spacing w:after="0" w:line="117" w:lineRule="exact"/>
        <w:rPr>
          <w:sz w:val="20"/>
          <w:szCs w:val="20"/>
          <w:color w:val="auto"/>
        </w:rPr>
      </w:pPr>
    </w:p>
    <w:p>
      <w:pPr>
        <w:ind w:left="980" w:right="520" w:hanging="277"/>
        <w:spacing w:after="0" w:line="223" w:lineRule="auto"/>
        <w:tabs>
          <w:tab w:leader="none" w:pos="980" w:val="left"/>
        </w:tabs>
        <w:numPr>
          <w:ilvl w:val="0"/>
          <w:numId w:val="99"/>
        </w:numPr>
        <w:rPr>
          <w:rFonts w:ascii="Arial" w:cs="Arial" w:eastAsia="Arial" w:hAnsi="Arial"/>
          <w:sz w:val="28"/>
          <w:szCs w:val="28"/>
          <w:color w:val="auto"/>
          <w:vertAlign w:val="superscript"/>
        </w:rPr>
      </w:pPr>
      <w:r>
        <w:rPr>
          <w:rFonts w:ascii="Arial" w:cs="Arial" w:eastAsia="Arial" w:hAnsi="Arial"/>
          <w:sz w:val="17"/>
          <w:szCs w:val="17"/>
          <w:color w:val="auto"/>
        </w:rPr>
        <w:t>Ein Beschluss der Generalversammlung, der mindestens zwei Drittel aller stimmberechtigten Aktien auf sich vereinigt, ist erforderlich für:</w:t>
      </w:r>
    </w:p>
    <w:p>
      <w:pPr>
        <w:spacing w:after="0" w:line="73" w:lineRule="exact"/>
        <w:rPr>
          <w:rFonts w:ascii="Arial" w:cs="Arial" w:eastAsia="Arial" w:hAnsi="Arial"/>
          <w:sz w:val="28"/>
          <w:szCs w:val="28"/>
          <w:color w:val="auto"/>
          <w:vertAlign w:val="superscript"/>
        </w:rPr>
      </w:pPr>
    </w:p>
    <w:p>
      <w:pPr>
        <w:ind w:left="1540" w:right="860" w:hanging="513"/>
        <w:spacing w:after="0" w:line="271" w:lineRule="auto"/>
        <w:tabs>
          <w:tab w:leader="none" w:pos="1540" w:val="left"/>
        </w:tabs>
        <w:numPr>
          <w:ilvl w:val="1"/>
          <w:numId w:val="99"/>
        </w:numPr>
        <w:rPr>
          <w:rFonts w:ascii="Arial" w:cs="Arial" w:eastAsia="Arial" w:hAnsi="Arial"/>
          <w:sz w:val="18"/>
          <w:szCs w:val="18"/>
          <w:color w:val="auto"/>
        </w:rPr>
      </w:pPr>
      <w:r>
        <w:rPr>
          <w:rFonts w:ascii="Arial" w:cs="Arial" w:eastAsia="Arial" w:hAnsi="Arial"/>
          <w:sz w:val="18"/>
          <w:szCs w:val="18"/>
          <w:color w:val="auto"/>
        </w:rPr>
        <w:t>Jede Änderung von Artikel 14 Abs. 1 dieser Statuten;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-225425</wp:posOffset>
            </wp:positionH>
            <wp:positionV relativeFrom="paragraph">
              <wp:posOffset>349250</wp:posOffset>
            </wp:positionV>
            <wp:extent cx="629221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left="273" w:right="159" w:hanging="273"/>
        <w:spacing w:after="0" w:line="206" w:lineRule="auto"/>
        <w:tabs>
          <w:tab w:leader="none" w:pos="273" w:val="left"/>
        </w:tabs>
        <w:numPr>
          <w:ilvl w:val="0"/>
          <w:numId w:val="100"/>
        </w:numPr>
        <w:rPr>
          <w:rFonts w:ascii="Arial" w:cs="Arial" w:eastAsia="Arial" w:hAnsi="Arial"/>
          <w:sz w:val="29"/>
          <w:szCs w:val="29"/>
          <w:color w:val="auto"/>
          <w:vertAlign w:val="superscript"/>
        </w:rPr>
      </w:pPr>
      <w:r>
        <w:rPr>
          <w:rFonts w:ascii="Arial" w:cs="Arial" w:eastAsia="Arial" w:hAnsi="Arial"/>
          <w:sz w:val="18"/>
          <w:szCs w:val="18"/>
          <w:color w:val="auto"/>
        </w:rPr>
        <w:t>The approval of at least two-thirds of the Shares entitled to vote shall be required for:</w:t>
      </w:r>
    </w:p>
    <w:p>
      <w:pPr>
        <w:spacing w:after="0" w:line="276" w:lineRule="exact"/>
        <w:rPr>
          <w:rFonts w:ascii="Arial" w:cs="Arial" w:eastAsia="Arial" w:hAnsi="Arial"/>
          <w:sz w:val="29"/>
          <w:szCs w:val="29"/>
          <w:color w:val="auto"/>
          <w:vertAlign w:val="superscript"/>
        </w:rPr>
      </w:pPr>
    </w:p>
    <w:p>
      <w:pPr>
        <w:ind w:left="833" w:right="39" w:hanging="509"/>
        <w:spacing w:after="0" w:line="271" w:lineRule="auto"/>
        <w:tabs>
          <w:tab w:leader="none" w:pos="833" w:val="left"/>
        </w:tabs>
        <w:numPr>
          <w:ilvl w:val="1"/>
          <w:numId w:val="100"/>
        </w:numPr>
        <w:rPr>
          <w:rFonts w:ascii="Arial" w:cs="Arial" w:eastAsia="Arial" w:hAnsi="Arial"/>
          <w:sz w:val="18"/>
          <w:szCs w:val="18"/>
          <w:color w:val="auto"/>
        </w:rPr>
      </w:pPr>
      <w:r>
        <w:rPr>
          <w:rFonts w:ascii="Arial" w:cs="Arial" w:eastAsia="Arial" w:hAnsi="Arial"/>
          <w:sz w:val="18"/>
          <w:szCs w:val="18"/>
          <w:color w:val="auto"/>
        </w:rPr>
        <w:t>Any change to Article 14 para. 1 of these Articles of Association;</w:t>
      </w:r>
    </w:p>
    <w:p>
      <w:pPr>
        <w:sectPr>
          <w:pgSz w:w="11900" w:h="16838" w:orient="portrait"/>
          <w:cols w:equalWidth="0" w:num="2">
            <w:col w:w="4760" w:space="627"/>
            <w:col w:w="3632"/>
          </w:cols>
          <w:pgMar w:left="1440" w:top="670" w:right="1440" w:bottom="1440" w:gutter="0" w:footer="0" w:header="0"/>
        </w:sectPr>
      </w:pPr>
    </w:p>
    <w:bookmarkStart w:id="26" w:name="page27"/>
    <w:bookmarkEnd w:id="26"/>
    <w:p>
      <w:pPr>
        <w:jc w:val="center"/>
        <w:ind w:right="-99"/>
        <w:spacing w:after="0"/>
        <w:rPr>
          <w:sz w:val="20"/>
          <w:szCs w:val="20"/>
          <w:color w:val="auto"/>
        </w:rPr>
      </w:pPr>
      <w:r>
        <w:rPr>
          <w:rFonts w:ascii="Arial" w:cs="Arial" w:eastAsia="Arial" w:hAnsi="Arial"/>
          <w:sz w:val="13"/>
          <w:szCs w:val="13"/>
          <w:color w:val="auto"/>
        </w:rPr>
        <w:t>- 19 -</w:t>
      </w:r>
    </w:p>
    <w:p>
      <w:pPr>
        <w:sectPr>
          <w:pgSz w:w="11900" w:h="16838" w:orient="portrait"/>
          <w:cols w:equalWidth="0" w:num="1">
            <w:col w:w="9100"/>
          </w:cols>
          <w:pgMar w:left="1440" w:top="670"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540" w:right="267" w:hanging="513"/>
        <w:spacing w:after="0" w:line="271" w:lineRule="auto"/>
        <w:tabs>
          <w:tab w:leader="none" w:pos="15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jede Änderung von Artikel 18 dieser Statuten;</w:t>
      </w:r>
    </w:p>
    <w:p>
      <w:pPr>
        <w:spacing w:after="0" w:line="45" w:lineRule="exact"/>
        <w:rPr>
          <w:rFonts w:ascii="Arial" w:cs="Arial" w:eastAsia="Arial" w:hAnsi="Arial"/>
          <w:sz w:val="18"/>
          <w:szCs w:val="18"/>
          <w:color w:val="auto"/>
        </w:rPr>
      </w:pPr>
    </w:p>
    <w:p>
      <w:pPr>
        <w:ind w:left="1540" w:right="487" w:hanging="513"/>
        <w:spacing w:after="0" w:line="271" w:lineRule="auto"/>
        <w:tabs>
          <w:tab w:leader="none" w:pos="15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jede Änderung dieses Artikels 20 Abs. 2;</w:t>
      </w:r>
    </w:p>
    <w:p>
      <w:pPr>
        <w:spacing w:after="0" w:line="45" w:lineRule="exact"/>
        <w:rPr>
          <w:rFonts w:ascii="Arial" w:cs="Arial" w:eastAsia="Arial" w:hAnsi="Arial"/>
          <w:sz w:val="18"/>
          <w:szCs w:val="18"/>
          <w:color w:val="auto"/>
        </w:rPr>
      </w:pPr>
    </w:p>
    <w:p>
      <w:pPr>
        <w:ind w:left="1520" w:right="487" w:hanging="493"/>
        <w:spacing w:after="0" w:line="301" w:lineRule="auto"/>
        <w:tabs>
          <w:tab w:leader="none" w:pos="152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jede Änderung von Artikel 21, 22, 23 oder 24 dieser Statuten; und</w:t>
      </w:r>
    </w:p>
    <w:p>
      <w:pPr>
        <w:spacing w:after="0" w:line="225" w:lineRule="exact"/>
        <w:rPr>
          <w:rFonts w:ascii="Arial" w:cs="Arial" w:eastAsia="Arial" w:hAnsi="Arial"/>
          <w:sz w:val="17"/>
          <w:szCs w:val="17"/>
          <w:color w:val="auto"/>
        </w:rPr>
      </w:pPr>
    </w:p>
    <w:p>
      <w:pPr>
        <w:ind w:left="1520" w:right="627" w:hanging="493"/>
        <w:spacing w:after="0" w:line="301" w:lineRule="auto"/>
        <w:tabs>
          <w:tab w:leader="none" w:pos="152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die Abwahl eines amtierenden Mitglieds des Verwaltungsrates.</w:t>
      </w:r>
    </w:p>
    <w:p>
      <w:pPr>
        <w:spacing w:after="0" w:line="320" w:lineRule="exact"/>
        <w:rPr>
          <w:sz w:val="20"/>
          <w:szCs w:val="20"/>
          <w:color w:val="auto"/>
        </w:rPr>
      </w:pPr>
    </w:p>
    <w:p>
      <w:pPr>
        <w:ind w:left="1040" w:right="287" w:hanging="337"/>
        <w:spacing w:after="0" w:line="243" w:lineRule="auto"/>
        <w:tabs>
          <w:tab w:leader="none" w:pos="1040" w:val="left"/>
        </w:tabs>
        <w:numPr>
          <w:ilvl w:val="0"/>
          <w:numId w:val="102"/>
        </w:numPr>
        <w:rPr>
          <w:rFonts w:ascii="Arial" w:cs="Arial" w:eastAsia="Arial" w:hAnsi="Arial"/>
          <w:sz w:val="28"/>
          <w:szCs w:val="28"/>
          <w:color w:val="auto"/>
          <w:vertAlign w:val="superscript"/>
        </w:rPr>
      </w:pPr>
      <w:r>
        <w:rPr>
          <w:rFonts w:ascii="Arial" w:cs="Arial" w:eastAsia="Arial" w:hAnsi="Arial"/>
          <w:sz w:val="17"/>
          <w:szCs w:val="17"/>
          <w:color w:val="auto"/>
        </w:rPr>
        <w:t>Zusätzlich zu etwaigen gesetzlich bestehenden Zustimmungserfordernissen ist ein Beschluss der Generalversammlung mit einer Mehrheit, die mindestens die Summe von: (i) zwei Drittel aller stimmberechtigten Aktien; zuzüglich (ii) einer Zahl von stimmberechtigten Aktien, die einem Drittel der von Nahestehenden Aktionären (wie in Artikel 35 dieser Statuten definiert) gehaltenen Aktienstimmen entspricht, auf sich vereinigt, erforderlich für (1) jeden Zusammenschluss der Gesellschaft mit einem Nahestehenden Aktionär innerhalb eines Zeitraumes von drei Jahren, seitdem diese Person zu einem Nahestehenden Aktionär wurde, (2) jede Änderung von Artikel 19(i) dieser Statuten oder (3) jede Änderung von Artikel 20 Abs. 3 dieser Statuten (einschliesslich der dazugehörigen Definitionen in Artikel 35 dieser Statuten). Das im vorangehenden Satz aufgestellte Zustimmungserfordernis ist jedoch nicht anwendbar falls:</w:t>
      </w:r>
    </w:p>
    <w:p>
      <w:pPr>
        <w:spacing w:after="0" w:line="287" w:lineRule="exact"/>
        <w:rPr>
          <w:rFonts w:ascii="Arial" w:cs="Arial" w:eastAsia="Arial" w:hAnsi="Arial"/>
          <w:sz w:val="28"/>
          <w:szCs w:val="28"/>
          <w:color w:val="auto"/>
          <w:vertAlign w:val="superscript"/>
        </w:rPr>
      </w:pPr>
    </w:p>
    <w:p>
      <w:pPr>
        <w:ind w:left="1560" w:right="427" w:hanging="493"/>
        <w:spacing w:after="0"/>
        <w:tabs>
          <w:tab w:leader="none" w:pos="156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der Verwaltungsrat, bevor diese Person zu einem Nahestehenden Aktionär wurde, entweder den Zusammenschluss oder eine andere Transaktion genehmigte, als Folge derer diese Person zu einem Nahestehenden Aktionär wurde;</w:t>
      </w:r>
    </w:p>
    <w:p>
      <w:pPr>
        <w:spacing w:after="0" w:line="72" w:lineRule="exact"/>
        <w:rPr>
          <w:rFonts w:ascii="Arial" w:cs="Arial" w:eastAsia="Arial" w:hAnsi="Arial"/>
          <w:sz w:val="18"/>
          <w:szCs w:val="18"/>
          <w:color w:val="auto"/>
        </w:rPr>
      </w:pPr>
    </w:p>
    <w:p>
      <w:pPr>
        <w:ind w:left="1560" w:right="307" w:hanging="493"/>
        <w:spacing w:after="0" w:line="242" w:lineRule="auto"/>
        <w:tabs>
          <w:tab w:leader="none" w:pos="156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nach Vollzug der Transaktion, als Folge derer diese Person zu einem Nahestehenden Aktionär wurde, der Nahestehende Aktionär mindestens 85% der unmittelbar vor Beginn der betreffenden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-225425</wp:posOffset>
            </wp:positionH>
            <wp:positionV relativeFrom="paragraph">
              <wp:posOffset>459740</wp:posOffset>
            </wp:positionV>
            <wp:extent cx="629221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833" w:right="260" w:hanging="509"/>
        <w:spacing w:after="0" w:line="271" w:lineRule="auto"/>
        <w:tabs>
          <w:tab w:leader="none" w:pos="833"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any change to Article 18 of these Articles of Association;</w:t>
      </w:r>
    </w:p>
    <w:p>
      <w:pPr>
        <w:spacing w:after="0" w:line="45" w:lineRule="exact"/>
        <w:rPr>
          <w:rFonts w:ascii="Arial" w:cs="Arial" w:eastAsia="Arial" w:hAnsi="Arial"/>
          <w:sz w:val="18"/>
          <w:szCs w:val="18"/>
          <w:color w:val="auto"/>
        </w:rPr>
      </w:pPr>
    </w:p>
    <w:p>
      <w:pPr>
        <w:ind w:left="833" w:right="620" w:hanging="509"/>
        <w:spacing w:after="0" w:line="271" w:lineRule="auto"/>
        <w:tabs>
          <w:tab w:leader="none" w:pos="833"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any change to this Article 20 para. 2;</w:t>
      </w:r>
    </w:p>
    <w:p>
      <w:pPr>
        <w:spacing w:after="0" w:line="45" w:lineRule="exact"/>
        <w:rPr>
          <w:rFonts w:ascii="Arial" w:cs="Arial" w:eastAsia="Arial" w:hAnsi="Arial"/>
          <w:sz w:val="18"/>
          <w:szCs w:val="18"/>
          <w:color w:val="auto"/>
        </w:rPr>
      </w:pPr>
    </w:p>
    <w:p>
      <w:pPr>
        <w:jc w:val="both"/>
        <w:ind w:left="833" w:right="120" w:hanging="509"/>
        <w:spacing w:after="0" w:line="253" w:lineRule="auto"/>
        <w:tabs>
          <w:tab w:leader="none" w:pos="833"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any change to Article 21, 22, 23 or 24 of these Articles of Association; and</w:t>
      </w:r>
    </w:p>
    <w:p>
      <w:pPr>
        <w:spacing w:after="0" w:line="60" w:lineRule="exact"/>
        <w:rPr>
          <w:rFonts w:ascii="Arial" w:cs="Arial" w:eastAsia="Arial" w:hAnsi="Arial"/>
          <w:sz w:val="18"/>
          <w:szCs w:val="18"/>
          <w:color w:val="auto"/>
        </w:rPr>
      </w:pPr>
    </w:p>
    <w:p>
      <w:pPr>
        <w:ind w:left="833" w:right="40" w:hanging="509"/>
        <w:spacing w:after="0" w:line="253" w:lineRule="auto"/>
        <w:tabs>
          <w:tab w:leader="none" w:pos="833"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 resolution with respect to the removal of a serving member of the Board of Directors.</w:t>
      </w:r>
    </w:p>
    <w:p>
      <w:pPr>
        <w:spacing w:after="0" w:line="155" w:lineRule="exact"/>
        <w:rPr>
          <w:sz w:val="20"/>
          <w:szCs w:val="20"/>
          <w:color w:val="auto"/>
        </w:rPr>
      </w:pPr>
    </w:p>
    <w:p>
      <w:pPr>
        <w:ind w:left="333" w:hanging="333"/>
        <w:spacing w:after="0" w:line="230" w:lineRule="auto"/>
        <w:tabs>
          <w:tab w:leader="none" w:pos="333" w:val="left"/>
        </w:tabs>
        <w:numPr>
          <w:ilvl w:val="0"/>
          <w:numId w:val="104"/>
        </w:numPr>
        <w:rPr>
          <w:rFonts w:ascii="Arial" w:cs="Arial" w:eastAsia="Arial" w:hAnsi="Arial"/>
          <w:sz w:val="29"/>
          <w:szCs w:val="29"/>
          <w:color w:val="auto"/>
          <w:vertAlign w:val="superscript"/>
        </w:rPr>
      </w:pPr>
      <w:r>
        <w:rPr>
          <w:rFonts w:ascii="Arial" w:cs="Arial" w:eastAsia="Arial" w:hAnsi="Arial"/>
          <w:sz w:val="18"/>
          <w:szCs w:val="18"/>
          <w:color w:val="auto"/>
        </w:rPr>
        <w:t xml:space="preserve">In addition to any approval that may be required under applicable law, the approval of a majority at least equal to the sum of: (i) two-thirds of the Shares entitled to vote; plus (ii) a number of Shares entitled to vote that is equal to one-third of the number of Shares held by Interested Shareholders (as defined in Article 35 of these Articles of Association), shall be required for the Company to (1) engage in any Business Combination with an Interested Shareholder for a period of three years following the time that such Person became an Interested Shareholder, (2) amend Article 19(i) of these Articles of Association or (3) amend this Article 20 para. 3 of these Articles of Association (including any of the definitions pertaining thereto as set forth in Article 35 of these Articles of Association);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approval</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 in the preceding sentence shall not apply if:</w:t>
      </w:r>
    </w:p>
    <w:p>
      <w:pPr>
        <w:spacing w:after="0" w:line="284" w:lineRule="exact"/>
        <w:rPr>
          <w:rFonts w:ascii="Arial" w:cs="Arial" w:eastAsia="Arial" w:hAnsi="Arial"/>
          <w:sz w:val="29"/>
          <w:szCs w:val="29"/>
          <w:color w:val="auto"/>
          <w:vertAlign w:val="superscript"/>
        </w:rPr>
      </w:pPr>
    </w:p>
    <w:p>
      <w:pPr>
        <w:ind w:left="873" w:right="40" w:hanging="508"/>
        <w:spacing w:after="0" w:line="257" w:lineRule="auto"/>
        <w:tabs>
          <w:tab w:leader="none" w:pos="873" w:val="left"/>
        </w:tabs>
        <w:numPr>
          <w:ilvl w:val="1"/>
          <w:numId w:val="104"/>
        </w:numPr>
        <w:rPr>
          <w:rFonts w:ascii="Arial" w:cs="Arial" w:eastAsia="Arial" w:hAnsi="Arial"/>
          <w:sz w:val="17"/>
          <w:szCs w:val="17"/>
          <w:color w:val="auto"/>
        </w:rPr>
      </w:pPr>
      <w:r>
        <w:rPr>
          <w:rFonts w:ascii="Arial" w:cs="Arial" w:eastAsia="Arial" w:hAnsi="Arial"/>
          <w:sz w:val="17"/>
          <w:szCs w:val="17"/>
          <w:color w:val="auto"/>
        </w:rPr>
        <w:t>Prior to such time that such Person became an Interested Shareholder, the Board of Directors approved either the Business Combination or the transaction which resulted in such Person becoming an Interested Shareholder;</w:t>
      </w:r>
    </w:p>
    <w:p>
      <w:pPr>
        <w:spacing w:after="0" w:line="262" w:lineRule="exact"/>
        <w:rPr>
          <w:rFonts w:ascii="Arial" w:cs="Arial" w:eastAsia="Arial" w:hAnsi="Arial"/>
          <w:sz w:val="17"/>
          <w:szCs w:val="17"/>
          <w:color w:val="auto"/>
        </w:rPr>
      </w:pPr>
    </w:p>
    <w:p>
      <w:pPr>
        <w:ind w:left="873" w:hanging="508"/>
        <w:spacing w:after="0"/>
        <w:tabs>
          <w:tab w:leader="none" w:pos="873" w:val="left"/>
        </w:tabs>
        <w:numPr>
          <w:ilvl w:val="1"/>
          <w:numId w:val="104"/>
        </w:numPr>
        <w:rPr>
          <w:rFonts w:ascii="Arial" w:cs="Arial" w:eastAsia="Arial" w:hAnsi="Arial"/>
          <w:sz w:val="18"/>
          <w:szCs w:val="18"/>
          <w:color w:val="auto"/>
        </w:rPr>
      </w:pPr>
      <w:r>
        <w:rPr>
          <w:rFonts w:ascii="Arial" w:cs="Arial" w:eastAsia="Arial" w:hAnsi="Arial"/>
          <w:sz w:val="18"/>
          <w:szCs w:val="18"/>
          <w:color w:val="auto"/>
        </w:rPr>
        <w:t>upon consummation of the transaction which resulted in such Person becoming an Interested Shareholder, the Interested Shareholder Owned at least 85% of the Shares generally entitled to vote</w:t>
      </w:r>
    </w:p>
    <w:p>
      <w:pPr>
        <w:sectPr>
          <w:pgSz w:w="11900" w:h="16838" w:orient="portrait"/>
          <w:cols w:equalWidth="0" w:num="2">
            <w:col w:w="4667" w:space="720"/>
            <w:col w:w="3713"/>
          </w:cols>
          <w:pgMar w:left="1440" w:top="670" w:right="1359" w:bottom="1440" w:gutter="0" w:footer="0" w:header="0"/>
          <w:type w:val="continuous"/>
        </w:sectPr>
      </w:pPr>
    </w:p>
    <w:bookmarkStart w:id="27" w:name="page28"/>
    <w:bookmarkEnd w:id="27"/>
    <w:p>
      <w:pPr>
        <w:jc w:val="right"/>
        <w:ind w:right="434"/>
        <w:spacing w:after="0"/>
        <w:rPr>
          <w:sz w:val="20"/>
          <w:szCs w:val="20"/>
          <w:color w:val="auto"/>
        </w:rPr>
      </w:pPr>
      <w:r>
        <w:rPr>
          <w:rFonts w:ascii="Arial" w:cs="Arial" w:eastAsia="Arial" w:hAnsi="Arial"/>
          <w:sz w:val="14"/>
          <w:szCs w:val="14"/>
          <w:color w:val="auto"/>
        </w:rPr>
        <w:t>- 20 -</w:t>
      </w:r>
    </w:p>
    <w:p>
      <w:pPr>
        <w:spacing w:after="0" w:line="200" w:lineRule="exact"/>
        <w:rPr>
          <w:sz w:val="20"/>
          <w:szCs w:val="20"/>
          <w:color w:val="auto"/>
        </w:rPr>
      </w:pPr>
    </w:p>
    <w:p>
      <w:pPr>
        <w:spacing w:after="0" w:line="399"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Transaktion allgemein</w:t>
      </w:r>
    </w:p>
    <w:p>
      <w:pPr>
        <w:spacing w:after="0" w:line="9"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stimmberechtigten Aktien hält,</w:t>
      </w:r>
    </w:p>
    <w:p>
      <w:pPr>
        <w:ind w:left="1520"/>
        <w:spacing w:after="0" w:line="234" w:lineRule="auto"/>
        <w:rPr>
          <w:sz w:val="20"/>
          <w:szCs w:val="20"/>
          <w:color w:val="auto"/>
        </w:rPr>
      </w:pPr>
      <w:r>
        <w:rPr>
          <w:rFonts w:ascii="Arial" w:cs="Arial" w:eastAsia="Arial" w:hAnsi="Arial"/>
          <w:sz w:val="18"/>
          <w:szCs w:val="18"/>
          <w:color w:val="auto"/>
        </w:rPr>
        <w:t>wobei zur Bestimmung der</w:t>
      </w:r>
    </w:p>
    <w:p>
      <w:pPr>
        <w:ind w:left="1520"/>
        <w:spacing w:after="0" w:line="235" w:lineRule="auto"/>
        <w:rPr>
          <w:sz w:val="20"/>
          <w:szCs w:val="20"/>
          <w:color w:val="auto"/>
        </w:rPr>
      </w:pPr>
      <w:r>
        <w:rPr>
          <w:rFonts w:ascii="Arial" w:cs="Arial" w:eastAsia="Arial" w:hAnsi="Arial"/>
          <w:sz w:val="18"/>
          <w:szCs w:val="18"/>
          <w:color w:val="auto"/>
        </w:rPr>
        <w:t>Anzahl der allgemein</w:t>
      </w:r>
    </w:p>
    <w:p>
      <w:pPr>
        <w:ind w:left="1520"/>
        <w:spacing w:after="0" w:line="235" w:lineRule="auto"/>
        <w:rPr>
          <w:sz w:val="20"/>
          <w:szCs w:val="20"/>
          <w:color w:val="auto"/>
        </w:rPr>
      </w:pPr>
      <w:r>
        <w:rPr>
          <w:rFonts w:ascii="Arial" w:cs="Arial" w:eastAsia="Arial" w:hAnsi="Arial"/>
          <w:sz w:val="18"/>
          <w:szCs w:val="18"/>
          <w:color w:val="auto"/>
        </w:rPr>
        <w:t>stimmberechtigten Aktien (nicht</w:t>
      </w:r>
    </w:p>
    <w:p>
      <w:pPr>
        <w:ind w:left="1520"/>
        <w:spacing w:after="0" w:line="235" w:lineRule="auto"/>
        <w:rPr>
          <w:sz w:val="20"/>
          <w:szCs w:val="20"/>
          <w:color w:val="auto"/>
        </w:rPr>
      </w:pPr>
      <w:r>
        <w:rPr>
          <w:rFonts w:ascii="Arial" w:cs="Arial" w:eastAsia="Arial" w:hAnsi="Arial"/>
          <w:sz w:val="18"/>
          <w:szCs w:val="18"/>
          <w:color w:val="auto"/>
        </w:rPr>
        <w:t>jedoch zur Bestimmung der</w:t>
      </w:r>
    </w:p>
    <w:p>
      <w:pPr>
        <w:ind w:left="1520"/>
        <w:spacing w:after="0" w:line="235" w:lineRule="auto"/>
        <w:rPr>
          <w:sz w:val="20"/>
          <w:szCs w:val="20"/>
          <w:color w:val="auto"/>
        </w:rPr>
      </w:pPr>
      <w:r>
        <w:rPr>
          <w:rFonts w:ascii="Arial" w:cs="Arial" w:eastAsia="Arial" w:hAnsi="Arial"/>
          <w:sz w:val="18"/>
          <w:szCs w:val="18"/>
          <w:color w:val="auto"/>
        </w:rPr>
        <w:t>durch den Nahestehenden</w:t>
      </w:r>
    </w:p>
    <w:p>
      <w:pPr>
        <w:ind w:left="1520"/>
        <w:spacing w:after="0" w:line="234" w:lineRule="auto"/>
        <w:rPr>
          <w:sz w:val="20"/>
          <w:szCs w:val="20"/>
          <w:color w:val="auto"/>
        </w:rPr>
      </w:pPr>
      <w:r>
        <w:rPr>
          <w:rFonts w:ascii="Arial" w:cs="Arial" w:eastAsia="Arial" w:hAnsi="Arial"/>
          <w:sz w:val="18"/>
          <w:szCs w:val="18"/>
          <w:color w:val="auto"/>
        </w:rPr>
        <w:t>Aktionär gehaltenen Aktien)</w:t>
      </w:r>
    </w:p>
    <w:p>
      <w:pPr>
        <w:ind w:left="1520"/>
        <w:spacing w:after="0" w:line="235" w:lineRule="auto"/>
        <w:rPr>
          <w:sz w:val="20"/>
          <w:szCs w:val="20"/>
          <w:color w:val="auto"/>
        </w:rPr>
      </w:pPr>
      <w:r>
        <w:rPr>
          <w:rFonts w:ascii="Arial" w:cs="Arial" w:eastAsia="Arial" w:hAnsi="Arial"/>
          <w:sz w:val="18"/>
          <w:szCs w:val="18"/>
          <w:color w:val="auto"/>
        </w:rPr>
        <w:t>folgende Aktien nicht zu</w:t>
      </w:r>
    </w:p>
    <w:p>
      <w:pPr>
        <w:ind w:left="1520"/>
        <w:spacing w:after="0" w:line="235" w:lineRule="auto"/>
        <w:rPr>
          <w:sz w:val="20"/>
          <w:szCs w:val="20"/>
          <w:color w:val="auto"/>
        </w:rPr>
      </w:pPr>
      <w:r>
        <w:rPr>
          <w:rFonts w:ascii="Arial" w:cs="Arial" w:eastAsia="Arial" w:hAnsi="Arial"/>
          <w:sz w:val="18"/>
          <w:szCs w:val="18"/>
          <w:color w:val="auto"/>
        </w:rPr>
        <w:t>berücksichtigen sind: Aktien,</w:t>
      </w:r>
    </w:p>
    <w:p>
      <w:pPr>
        <w:ind w:left="1520" w:right="1034" w:hanging="7"/>
        <w:spacing w:after="0" w:line="236" w:lineRule="auto"/>
        <w:tabs>
          <w:tab w:leader="none" w:pos="178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welche von Personen gehalten werden, die sowohl Verwaltungsrats- wie Geschäftsleitungsmitglieder sind, und (y) welche für Mitarbeiteraktienpläne reserviert sind, soweit die diesen Plänen unterworfenen Mitarbeiter nicht das Recht haben, unter Wahrung der Vertraulichkeit darüber zu entscheiden, ob Aktien, die dem betreffenden Mitarbeiteraktienplan unterstehen, in einem Übernahme- oder Austauschangebot angedient werden sollen oder nicht;</w:t>
      </w:r>
    </w:p>
    <w:p>
      <w:pPr>
        <w:spacing w:after="0" w:line="72" w:lineRule="exact"/>
        <w:rPr>
          <w:rFonts w:ascii="Arial" w:cs="Arial" w:eastAsia="Arial" w:hAnsi="Arial"/>
          <w:sz w:val="18"/>
          <w:szCs w:val="18"/>
          <w:color w:val="auto"/>
        </w:rPr>
      </w:pPr>
    </w:p>
    <w:p>
      <w:pPr>
        <w:ind w:left="1520" w:right="1014" w:hanging="507"/>
        <w:spacing w:after="0" w:line="237" w:lineRule="auto"/>
        <w:tabs>
          <w:tab w:leader="none" w:pos="15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eine Person unbeabsichtigterweise zu einem Nahestehenden Aktionär wird und (x) das Eigentum an einer genügenden Anzahl Aktien sobald als möglich veräussert, so dass sie nicht mehr länger als Nahestehender Aktionär qualifiziert und (y) zu keinem Zeitpunkt während der drei dem Zusammenschluss zwischen der Gesellschaft und dieser Person unmittelbar vorangehenden Jahren als Nahestehender Aktionär gegolten hätte, ausgenommen aufgrund des unbeabsichtigten Erwerbs der Eigentümerschaft.</w:t>
      </w:r>
    </w:p>
    <w:p>
      <w:pPr>
        <w:spacing w:after="0" w:line="73" w:lineRule="exact"/>
        <w:rPr>
          <w:rFonts w:ascii="Arial" w:cs="Arial" w:eastAsia="Arial" w:hAnsi="Arial"/>
          <w:sz w:val="18"/>
          <w:szCs w:val="18"/>
          <w:color w:val="auto"/>
        </w:rPr>
      </w:pPr>
    </w:p>
    <w:p>
      <w:pPr>
        <w:ind w:left="1520" w:right="1034" w:hanging="507"/>
        <w:spacing w:after="0" w:line="251" w:lineRule="auto"/>
        <w:tabs>
          <w:tab w:leader="none" w:pos="152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der Zusammenschluss vor Vollzug oder Verzicht auf und nach öffentlicher Bekanntgabe oder der nach diesem Abschnitt erforderlichen Mitteilung (was auch immer früher erfolgt) eine(r) beabsichtigten Transaktion vorgeschlagen wird, welche</w:t>
      </w:r>
    </w:p>
    <w:p>
      <w:pPr>
        <w:spacing w:after="0" w:line="2" w:lineRule="exact"/>
        <w:rPr>
          <w:rFonts w:ascii="Arial" w:cs="Arial" w:eastAsia="Arial" w:hAnsi="Arial"/>
          <w:sz w:val="17"/>
          <w:szCs w:val="17"/>
          <w:color w:val="auto"/>
        </w:rPr>
      </w:pPr>
    </w:p>
    <w:p>
      <w:pPr>
        <w:ind w:left="1520" w:right="1054" w:hanging="7"/>
        <w:spacing w:after="0" w:line="248" w:lineRule="auto"/>
        <w:tabs>
          <w:tab w:leader="none" w:pos="1730" w:val="left"/>
        </w:tabs>
        <w:numPr>
          <w:ilvl w:val="1"/>
          <w:numId w:val="106"/>
        </w:numPr>
        <w:rPr>
          <w:rFonts w:ascii="Arial" w:cs="Arial" w:eastAsia="Arial" w:hAnsi="Arial"/>
          <w:sz w:val="17"/>
          <w:szCs w:val="17"/>
          <w:color w:val="auto"/>
        </w:rPr>
      </w:pPr>
      <w:r>
        <w:rPr>
          <w:rFonts w:ascii="Arial" w:cs="Arial" w:eastAsia="Arial" w:hAnsi="Arial"/>
          <w:sz w:val="17"/>
          <w:szCs w:val="17"/>
          <w:color w:val="auto"/>
        </w:rPr>
        <w:t>eine der Transaktionen im Sinne des zweiten Satzes dieses Artikels 20 Abs. 3(d) darstellt;</w:t>
      </w:r>
    </w:p>
    <w:p>
      <w:pPr>
        <w:spacing w:after="0" w:line="1" w:lineRule="exact"/>
        <w:rPr>
          <w:rFonts w:ascii="Arial" w:cs="Arial" w:eastAsia="Arial" w:hAnsi="Arial"/>
          <w:sz w:val="17"/>
          <w:szCs w:val="17"/>
          <w:color w:val="auto"/>
        </w:rPr>
      </w:pPr>
    </w:p>
    <w:p>
      <w:pPr>
        <w:ind w:left="1520" w:right="1374" w:hanging="7"/>
        <w:spacing w:after="0" w:line="242" w:lineRule="auto"/>
        <w:tabs>
          <w:tab w:leader="none" w:pos="177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mit oder von einer Person abgeschlossen wird, die entweder während 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-225425</wp:posOffset>
            </wp:positionH>
            <wp:positionV relativeFrom="paragraph">
              <wp:posOffset>460375</wp:posOffset>
            </wp:positionV>
            <wp:extent cx="629221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506" w:right="20"/>
        <w:spacing w:after="0" w:line="237" w:lineRule="auto"/>
        <w:rPr>
          <w:sz w:val="20"/>
          <w:szCs w:val="20"/>
          <w:color w:val="auto"/>
        </w:rPr>
      </w:pPr>
      <w:r>
        <w:rPr>
          <w:rFonts w:ascii="Arial" w:cs="Arial" w:eastAsia="Arial" w:hAnsi="Arial"/>
          <w:sz w:val="18"/>
          <w:szCs w:val="18"/>
          <w:color w:val="auto"/>
        </w:rPr>
        <w:t>at the time the transaction commenced, excluding for purposes of determining such number of Shares then in issue (but not for purposes of determining the Shares Owned by the Interested Shareholder), those Shares Owned (x) by Persons who are both members of the Board of Directors and officers of the Company and (y) by employee share plans in which employee participants do not have the right to determine confidentially whether Shares held subject to the plan will be tendered in a tender or exchange offer;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06" w:hanging="506"/>
        <w:spacing w:after="0" w:line="237" w:lineRule="auto"/>
        <w:tabs>
          <w:tab w:leader="none" w:pos="506"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 Person becomes an Interested Shareholder inadvertently and (x) as soon as practicable divests itself of Ownership of sufficient Shares so that such Person ceases to be an Interested Shareholder and (y) would not, at any time within the three-year period immediately prior to a Business Combination between the Company and such Person, have been an Interested Shareholder but for the inadvertent acquisition of Ownership;</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7" w:lineRule="exact"/>
        <w:rPr>
          <w:rFonts w:ascii="Arial" w:cs="Arial" w:eastAsia="Arial" w:hAnsi="Arial"/>
          <w:sz w:val="18"/>
          <w:szCs w:val="18"/>
          <w:color w:val="auto"/>
        </w:rPr>
      </w:pPr>
    </w:p>
    <w:p>
      <w:pPr>
        <w:ind w:left="506" w:right="100" w:hanging="506"/>
        <w:spacing w:after="0" w:line="237" w:lineRule="auto"/>
        <w:tabs>
          <w:tab w:leader="none" w:pos="506"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Business Combination is proposed prior to the consummation or abandonment of and subsequent to the earlier of the public announcement or the notice required hereunder of a proposed transaction which</w:t>
      </w:r>
    </w:p>
    <w:p>
      <w:pPr>
        <w:spacing w:after="0" w:line="4" w:lineRule="exact"/>
        <w:rPr>
          <w:rFonts w:ascii="Arial" w:cs="Arial" w:eastAsia="Arial" w:hAnsi="Arial"/>
          <w:sz w:val="18"/>
          <w:szCs w:val="18"/>
          <w:color w:val="auto"/>
        </w:rPr>
      </w:pPr>
    </w:p>
    <w:p>
      <w:pPr>
        <w:ind w:left="506" w:right="380"/>
        <w:spacing w:after="0" w:line="234" w:lineRule="auto"/>
        <w:rPr>
          <w:rFonts w:ascii="Arial" w:cs="Arial" w:eastAsia="Arial" w:hAnsi="Arial"/>
          <w:sz w:val="18"/>
          <w:szCs w:val="18"/>
          <w:color w:val="auto"/>
        </w:rPr>
      </w:pPr>
      <w:r>
        <w:rPr>
          <w:rFonts w:ascii="Arial" w:cs="Arial" w:eastAsia="Arial" w:hAnsi="Arial"/>
          <w:sz w:val="18"/>
          <w:szCs w:val="18"/>
          <w:color w:val="auto"/>
        </w:rPr>
        <w:t>(i) constitutes one of the transactions described in the second sentence of this</w:t>
      </w:r>
    </w:p>
    <w:p>
      <w:pPr>
        <w:spacing w:after="0" w:line="2" w:lineRule="exact"/>
        <w:rPr>
          <w:rFonts w:ascii="Arial" w:cs="Arial" w:eastAsia="Arial" w:hAnsi="Arial"/>
          <w:sz w:val="18"/>
          <w:szCs w:val="18"/>
          <w:color w:val="auto"/>
        </w:rPr>
      </w:pPr>
    </w:p>
    <w:p>
      <w:pPr>
        <w:ind w:left="506" w:right="20"/>
        <w:spacing w:after="0" w:line="239" w:lineRule="auto"/>
        <w:rPr>
          <w:rFonts w:ascii="Arial" w:cs="Arial" w:eastAsia="Arial" w:hAnsi="Arial"/>
          <w:sz w:val="18"/>
          <w:szCs w:val="18"/>
          <w:color w:val="auto"/>
        </w:rPr>
      </w:pPr>
      <w:r>
        <w:rPr>
          <w:rFonts w:ascii="Arial" w:cs="Arial" w:eastAsia="Arial" w:hAnsi="Arial"/>
          <w:sz w:val="18"/>
          <w:szCs w:val="18"/>
          <w:color w:val="auto"/>
        </w:rPr>
        <w:t>Article 20 para. 3(d); (ii) is with or by a person who either was not an Interested Shareholder during the previous three years or who became an</w:t>
      </w:r>
    </w:p>
    <w:p>
      <w:pPr>
        <w:sectPr>
          <w:pgSz w:w="11900" w:h="16838" w:orient="portrait"/>
          <w:cols w:equalWidth="0" w:num="2">
            <w:col w:w="5194" w:space="720"/>
            <w:col w:w="3166"/>
          </w:cols>
          <w:pgMar w:left="1440" w:top="670" w:right="1379" w:bottom="1440" w:gutter="0" w:footer="0" w:header="0"/>
        </w:sectPr>
      </w:pPr>
    </w:p>
    <w:bookmarkStart w:id="28" w:name="page29"/>
    <w:bookmarkEnd w:id="28"/>
    <w:p>
      <w:pPr>
        <w:jc w:val="right"/>
        <w:ind w:right="771"/>
        <w:spacing w:after="0"/>
        <w:rPr>
          <w:sz w:val="20"/>
          <w:szCs w:val="20"/>
          <w:color w:val="auto"/>
        </w:rPr>
      </w:pPr>
      <w:r>
        <w:rPr>
          <w:rFonts w:ascii="Arial" w:cs="Arial" w:eastAsia="Arial" w:hAnsi="Arial"/>
          <w:sz w:val="14"/>
          <w:szCs w:val="14"/>
          <w:color w:val="auto"/>
        </w:rPr>
        <w:t>- 21 -</w:t>
      </w:r>
    </w:p>
    <w:p>
      <w:pPr>
        <w:spacing w:after="0" w:line="200" w:lineRule="exact"/>
        <w:rPr>
          <w:sz w:val="20"/>
          <w:szCs w:val="20"/>
          <w:color w:val="auto"/>
        </w:rPr>
      </w:pPr>
    </w:p>
    <w:p>
      <w:pPr>
        <w:spacing w:after="0" w:line="399"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letzten drei Jahren kein</w:t>
      </w:r>
    </w:p>
    <w:p>
      <w:pPr>
        <w:spacing w:after="0" w:line="9"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Nahestehender Aktionär war oder</w:t>
      </w:r>
    </w:p>
    <w:p>
      <w:pPr>
        <w:ind w:left="1560"/>
        <w:spacing w:after="0" w:line="234" w:lineRule="auto"/>
        <w:rPr>
          <w:sz w:val="20"/>
          <w:szCs w:val="20"/>
          <w:color w:val="auto"/>
        </w:rPr>
      </w:pPr>
      <w:r>
        <w:rPr>
          <w:rFonts w:ascii="Arial" w:cs="Arial" w:eastAsia="Arial" w:hAnsi="Arial"/>
          <w:sz w:val="18"/>
          <w:szCs w:val="18"/>
          <w:color w:val="auto"/>
        </w:rPr>
        <w:t>zu einem Nahestehenden Aktionär</w:t>
      </w:r>
    </w:p>
    <w:p>
      <w:pPr>
        <w:ind w:left="1560"/>
        <w:spacing w:after="0" w:line="235" w:lineRule="auto"/>
        <w:rPr>
          <w:sz w:val="20"/>
          <w:szCs w:val="20"/>
          <w:color w:val="auto"/>
        </w:rPr>
      </w:pPr>
      <w:r>
        <w:rPr>
          <w:rFonts w:ascii="Arial" w:cs="Arial" w:eastAsia="Arial" w:hAnsi="Arial"/>
          <w:sz w:val="18"/>
          <w:szCs w:val="18"/>
          <w:color w:val="auto"/>
        </w:rPr>
        <w:t>mit der Genehmigung des</w:t>
      </w:r>
    </w:p>
    <w:p>
      <w:pPr>
        <w:ind w:left="1560"/>
        <w:spacing w:after="0" w:line="235" w:lineRule="auto"/>
        <w:rPr>
          <w:sz w:val="20"/>
          <w:szCs w:val="20"/>
          <w:color w:val="auto"/>
        </w:rPr>
      </w:pPr>
      <w:r>
        <w:rPr>
          <w:rFonts w:ascii="Arial" w:cs="Arial" w:eastAsia="Arial" w:hAnsi="Arial"/>
          <w:sz w:val="18"/>
          <w:szCs w:val="18"/>
          <w:color w:val="auto"/>
        </w:rPr>
        <w:t>Verwaltungsrates wurde; und (iii)</w:t>
      </w:r>
    </w:p>
    <w:p>
      <w:pPr>
        <w:ind w:left="1560"/>
        <w:spacing w:after="0" w:line="235" w:lineRule="auto"/>
        <w:rPr>
          <w:sz w:val="20"/>
          <w:szCs w:val="20"/>
          <w:color w:val="auto"/>
        </w:rPr>
      </w:pPr>
      <w:r>
        <w:rPr>
          <w:rFonts w:ascii="Arial" w:cs="Arial" w:eastAsia="Arial" w:hAnsi="Arial"/>
          <w:sz w:val="18"/>
          <w:szCs w:val="18"/>
          <w:color w:val="auto"/>
        </w:rPr>
        <w:t>von einer Mehrheit der dannzumal</w:t>
      </w:r>
    </w:p>
    <w:p>
      <w:pPr>
        <w:ind w:left="1560"/>
        <w:spacing w:after="0" w:line="235" w:lineRule="auto"/>
        <w:rPr>
          <w:sz w:val="20"/>
          <w:szCs w:val="20"/>
          <w:color w:val="auto"/>
        </w:rPr>
      </w:pPr>
      <w:r>
        <w:rPr>
          <w:rFonts w:ascii="Arial" w:cs="Arial" w:eastAsia="Arial" w:hAnsi="Arial"/>
          <w:sz w:val="18"/>
          <w:szCs w:val="18"/>
          <w:color w:val="auto"/>
        </w:rPr>
        <w:t>amtierenden Mitglieder des</w:t>
      </w:r>
    </w:p>
    <w:p>
      <w:pPr>
        <w:ind w:left="1560"/>
        <w:spacing w:after="0" w:line="234" w:lineRule="auto"/>
        <w:rPr>
          <w:sz w:val="20"/>
          <w:szCs w:val="20"/>
          <w:color w:val="auto"/>
        </w:rPr>
      </w:pPr>
      <w:r>
        <w:rPr>
          <w:rFonts w:ascii="Arial" w:cs="Arial" w:eastAsia="Arial" w:hAnsi="Arial"/>
          <w:sz w:val="18"/>
          <w:szCs w:val="18"/>
          <w:color w:val="auto"/>
        </w:rPr>
        <w:t>Verwaltungsrates (aber mindestens</w:t>
      </w:r>
    </w:p>
    <w:p>
      <w:pPr>
        <w:ind w:left="1560"/>
        <w:spacing w:after="0" w:line="235" w:lineRule="auto"/>
        <w:rPr>
          <w:sz w:val="20"/>
          <w:szCs w:val="20"/>
          <w:color w:val="auto"/>
        </w:rPr>
      </w:pPr>
      <w:r>
        <w:rPr>
          <w:rFonts w:ascii="Arial" w:cs="Arial" w:eastAsia="Arial" w:hAnsi="Arial"/>
          <w:sz w:val="18"/>
          <w:szCs w:val="18"/>
          <w:color w:val="auto"/>
        </w:rPr>
        <w:t>einem) genehmigt oder nicht</w:t>
      </w:r>
    </w:p>
    <w:p>
      <w:pPr>
        <w:ind w:left="1560"/>
        <w:spacing w:after="0" w:line="235" w:lineRule="auto"/>
        <w:rPr>
          <w:sz w:val="20"/>
          <w:szCs w:val="20"/>
          <w:color w:val="auto"/>
        </w:rPr>
      </w:pPr>
      <w:r>
        <w:rPr>
          <w:rFonts w:ascii="Arial" w:cs="Arial" w:eastAsia="Arial" w:hAnsi="Arial"/>
          <w:sz w:val="18"/>
          <w:szCs w:val="18"/>
          <w:color w:val="auto"/>
        </w:rPr>
        <w:t>abgelehnt wird, die entweder</w:t>
      </w:r>
    </w:p>
    <w:p>
      <w:pPr>
        <w:ind w:left="1560"/>
        <w:spacing w:after="0" w:line="235" w:lineRule="auto"/>
        <w:rPr>
          <w:sz w:val="20"/>
          <w:szCs w:val="20"/>
          <w:color w:val="auto"/>
        </w:rPr>
      </w:pPr>
      <w:r>
        <w:rPr>
          <w:rFonts w:ascii="Arial" w:cs="Arial" w:eastAsia="Arial" w:hAnsi="Arial"/>
          <w:sz w:val="18"/>
          <w:szCs w:val="18"/>
          <w:color w:val="auto"/>
        </w:rPr>
        <w:t>bereits Verwaltungsratsmitglieder</w:t>
      </w:r>
    </w:p>
    <w:p>
      <w:pPr>
        <w:ind w:left="1560"/>
        <w:spacing w:after="0" w:line="235" w:lineRule="auto"/>
        <w:rPr>
          <w:sz w:val="20"/>
          <w:szCs w:val="20"/>
          <w:color w:val="auto"/>
        </w:rPr>
      </w:pPr>
      <w:r>
        <w:rPr>
          <w:rFonts w:ascii="Arial" w:cs="Arial" w:eastAsia="Arial" w:hAnsi="Arial"/>
          <w:sz w:val="18"/>
          <w:szCs w:val="18"/>
          <w:color w:val="auto"/>
        </w:rPr>
        <w:t>waren, bevor in den drei</w:t>
      </w:r>
    </w:p>
    <w:p>
      <w:pPr>
        <w:ind w:left="1560"/>
        <w:spacing w:after="0" w:line="234" w:lineRule="auto"/>
        <w:rPr>
          <w:sz w:val="20"/>
          <w:szCs w:val="20"/>
          <w:color w:val="auto"/>
        </w:rPr>
      </w:pPr>
      <w:r>
        <w:rPr>
          <w:rFonts w:ascii="Arial" w:cs="Arial" w:eastAsia="Arial" w:hAnsi="Arial"/>
          <w:sz w:val="18"/>
          <w:szCs w:val="18"/>
          <w:color w:val="auto"/>
        </w:rPr>
        <w:t>vorangehenden Jahren irgendeine</w:t>
      </w:r>
    </w:p>
    <w:p>
      <w:pPr>
        <w:ind w:left="1560"/>
        <w:spacing w:after="0" w:line="235" w:lineRule="auto"/>
        <w:rPr>
          <w:sz w:val="20"/>
          <w:szCs w:val="20"/>
          <w:color w:val="auto"/>
        </w:rPr>
      </w:pPr>
      <w:r>
        <w:rPr>
          <w:rFonts w:ascii="Arial" w:cs="Arial" w:eastAsia="Arial" w:hAnsi="Arial"/>
          <w:sz w:val="18"/>
          <w:szCs w:val="18"/>
          <w:color w:val="auto"/>
        </w:rPr>
        <w:t>Person zu einem Nahestehenden</w:t>
      </w:r>
    </w:p>
    <w:p>
      <w:pPr>
        <w:ind w:left="1560"/>
        <w:spacing w:after="0" w:line="235" w:lineRule="auto"/>
        <w:rPr>
          <w:sz w:val="20"/>
          <w:szCs w:val="20"/>
          <w:color w:val="auto"/>
        </w:rPr>
      </w:pPr>
      <w:r>
        <w:rPr>
          <w:rFonts w:ascii="Arial" w:cs="Arial" w:eastAsia="Arial" w:hAnsi="Arial"/>
          <w:sz w:val="18"/>
          <w:szCs w:val="18"/>
          <w:color w:val="auto"/>
        </w:rPr>
        <w:t>Aktionär wurde, oder die auf</w:t>
      </w:r>
    </w:p>
    <w:p>
      <w:pPr>
        <w:ind w:left="1560"/>
        <w:spacing w:after="0" w:line="235" w:lineRule="auto"/>
        <w:rPr>
          <w:sz w:val="20"/>
          <w:szCs w:val="20"/>
          <w:color w:val="auto"/>
        </w:rPr>
      </w:pPr>
      <w:r>
        <w:rPr>
          <w:rFonts w:ascii="Arial" w:cs="Arial" w:eastAsia="Arial" w:hAnsi="Arial"/>
          <w:sz w:val="18"/>
          <w:szCs w:val="18"/>
          <w:color w:val="auto"/>
        </w:rPr>
        <w:t>Empfehlung einer Mehrheit solcher</w:t>
      </w:r>
    </w:p>
    <w:p>
      <w:pPr>
        <w:ind w:left="1560"/>
        <w:spacing w:after="0" w:line="235" w:lineRule="auto"/>
        <w:rPr>
          <w:sz w:val="20"/>
          <w:szCs w:val="20"/>
          <w:color w:val="auto"/>
        </w:rPr>
      </w:pPr>
      <w:r>
        <w:rPr>
          <w:rFonts w:ascii="Arial" w:cs="Arial" w:eastAsia="Arial" w:hAnsi="Arial"/>
          <w:sz w:val="18"/>
          <w:szCs w:val="18"/>
          <w:color w:val="auto"/>
        </w:rPr>
        <w:t>Verwaltungsratsmitglieder als</w:t>
      </w:r>
    </w:p>
    <w:p>
      <w:pPr>
        <w:ind w:left="1560"/>
        <w:spacing w:after="0" w:line="234" w:lineRule="auto"/>
        <w:rPr>
          <w:sz w:val="20"/>
          <w:szCs w:val="20"/>
          <w:color w:val="auto"/>
        </w:rPr>
      </w:pPr>
      <w:r>
        <w:rPr>
          <w:rFonts w:ascii="Arial" w:cs="Arial" w:eastAsia="Arial" w:hAnsi="Arial"/>
          <w:sz w:val="18"/>
          <w:szCs w:val="18"/>
          <w:color w:val="auto"/>
        </w:rPr>
        <w:t>deren Nachfolger zur Wahl</w:t>
      </w:r>
    </w:p>
    <w:p>
      <w:pPr>
        <w:ind w:left="1560"/>
        <w:spacing w:after="0" w:line="235" w:lineRule="auto"/>
        <w:rPr>
          <w:sz w:val="20"/>
          <w:szCs w:val="20"/>
          <w:color w:val="auto"/>
        </w:rPr>
      </w:pPr>
      <w:r>
        <w:rPr>
          <w:rFonts w:ascii="Arial" w:cs="Arial" w:eastAsia="Arial" w:hAnsi="Arial"/>
          <w:sz w:val="18"/>
          <w:szCs w:val="18"/>
          <w:color w:val="auto"/>
        </w:rPr>
        <w:t>vorgeschlagen wurden. Die im</w:t>
      </w:r>
    </w:p>
    <w:p>
      <w:pPr>
        <w:ind w:left="1560"/>
        <w:spacing w:after="0" w:line="235" w:lineRule="auto"/>
        <w:rPr>
          <w:sz w:val="20"/>
          <w:szCs w:val="20"/>
          <w:color w:val="auto"/>
        </w:rPr>
      </w:pPr>
      <w:r>
        <w:rPr>
          <w:rFonts w:ascii="Arial" w:cs="Arial" w:eastAsia="Arial" w:hAnsi="Arial"/>
          <w:sz w:val="18"/>
          <w:szCs w:val="18"/>
          <w:color w:val="auto"/>
        </w:rPr>
        <w:t>vorangehenden Satz erwähnten</w:t>
      </w:r>
    </w:p>
    <w:p>
      <w:pPr>
        <w:ind w:left="1560"/>
        <w:spacing w:after="0" w:line="235" w:lineRule="auto"/>
        <w:rPr>
          <w:sz w:val="20"/>
          <w:szCs w:val="20"/>
          <w:color w:val="auto"/>
        </w:rPr>
      </w:pPr>
      <w:r>
        <w:rPr>
          <w:rFonts w:ascii="Arial" w:cs="Arial" w:eastAsia="Arial" w:hAnsi="Arial"/>
          <w:sz w:val="18"/>
          <w:szCs w:val="18"/>
          <w:color w:val="auto"/>
        </w:rPr>
        <w:t>beabsichtigen Transaktionen sind</w:t>
      </w:r>
    </w:p>
    <w:p>
      <w:pPr>
        <w:ind w:left="1560"/>
        <w:spacing w:after="0" w:line="235" w:lineRule="auto"/>
        <w:rPr>
          <w:sz w:val="20"/>
          <w:szCs w:val="20"/>
          <w:color w:val="auto"/>
        </w:rPr>
      </w:pPr>
      <w:r>
        <w:rPr>
          <w:rFonts w:ascii="Arial" w:cs="Arial" w:eastAsia="Arial" w:hAnsi="Arial"/>
          <w:sz w:val="18"/>
          <w:szCs w:val="18"/>
          <w:color w:val="auto"/>
        </w:rPr>
        <w:t>auf folgende beschränkt: (x) eine</w:t>
      </w:r>
    </w:p>
    <w:p>
      <w:pPr>
        <w:ind w:left="1560"/>
        <w:spacing w:after="0" w:line="234" w:lineRule="auto"/>
        <w:rPr>
          <w:sz w:val="20"/>
          <w:szCs w:val="20"/>
          <w:color w:val="auto"/>
        </w:rPr>
      </w:pPr>
      <w:r>
        <w:rPr>
          <w:rFonts w:ascii="Arial" w:cs="Arial" w:eastAsia="Arial" w:hAnsi="Arial"/>
          <w:sz w:val="18"/>
          <w:szCs w:val="18"/>
          <w:color w:val="auto"/>
        </w:rPr>
        <w:t>Fusion oder andere Form des</w:t>
      </w:r>
    </w:p>
    <w:p>
      <w:pPr>
        <w:ind w:left="1560"/>
        <w:spacing w:after="0" w:line="235" w:lineRule="auto"/>
        <w:rPr>
          <w:sz w:val="20"/>
          <w:szCs w:val="20"/>
          <w:color w:val="auto"/>
        </w:rPr>
      </w:pPr>
      <w:r>
        <w:rPr>
          <w:rFonts w:ascii="Arial" w:cs="Arial" w:eastAsia="Arial" w:hAnsi="Arial"/>
          <w:sz w:val="18"/>
          <w:szCs w:val="18"/>
          <w:color w:val="auto"/>
        </w:rPr>
        <w:t>Zusammenschlusses der</w:t>
      </w:r>
    </w:p>
    <w:p>
      <w:pPr>
        <w:ind w:left="1560"/>
        <w:spacing w:after="0" w:line="235" w:lineRule="auto"/>
        <w:rPr>
          <w:sz w:val="20"/>
          <w:szCs w:val="20"/>
          <w:color w:val="auto"/>
        </w:rPr>
      </w:pPr>
      <w:r>
        <w:rPr>
          <w:rFonts w:ascii="Arial" w:cs="Arial" w:eastAsia="Arial" w:hAnsi="Arial"/>
          <w:sz w:val="18"/>
          <w:szCs w:val="18"/>
          <w:color w:val="auto"/>
        </w:rPr>
        <w:t>Gesellschaft (mit Ausnahme einer</w:t>
      </w:r>
    </w:p>
    <w:p>
      <w:pPr>
        <w:ind w:left="1560"/>
        <w:spacing w:after="0" w:line="235" w:lineRule="auto"/>
        <w:rPr>
          <w:sz w:val="20"/>
          <w:szCs w:val="20"/>
          <w:color w:val="auto"/>
        </w:rPr>
      </w:pPr>
      <w:r>
        <w:rPr>
          <w:rFonts w:ascii="Arial" w:cs="Arial" w:eastAsia="Arial" w:hAnsi="Arial"/>
          <w:sz w:val="18"/>
          <w:szCs w:val="18"/>
          <w:color w:val="auto"/>
        </w:rPr>
        <w:t>Fusion, welche keine</w:t>
      </w:r>
    </w:p>
    <w:p>
      <w:pPr>
        <w:ind w:left="1560"/>
        <w:spacing w:after="0" w:line="235" w:lineRule="auto"/>
        <w:rPr>
          <w:sz w:val="20"/>
          <w:szCs w:val="20"/>
          <w:color w:val="auto"/>
        </w:rPr>
      </w:pPr>
      <w:r>
        <w:rPr>
          <w:rFonts w:ascii="Arial" w:cs="Arial" w:eastAsia="Arial" w:hAnsi="Arial"/>
          <w:sz w:val="18"/>
          <w:szCs w:val="18"/>
          <w:color w:val="auto"/>
        </w:rPr>
        <w:t>Genehmigung durch die</w:t>
      </w:r>
    </w:p>
    <w:p>
      <w:pPr>
        <w:ind w:left="1560"/>
        <w:spacing w:after="0" w:line="234" w:lineRule="auto"/>
        <w:rPr>
          <w:sz w:val="20"/>
          <w:szCs w:val="20"/>
          <w:color w:val="auto"/>
        </w:rPr>
      </w:pPr>
      <w:r>
        <w:rPr>
          <w:rFonts w:ascii="Arial" w:cs="Arial" w:eastAsia="Arial" w:hAnsi="Arial"/>
          <w:sz w:val="18"/>
          <w:szCs w:val="18"/>
          <w:color w:val="auto"/>
        </w:rPr>
        <w:t>Generalversammlung der</w:t>
      </w:r>
    </w:p>
    <w:p>
      <w:pPr>
        <w:ind w:left="1560"/>
        <w:spacing w:after="0" w:line="235" w:lineRule="auto"/>
        <w:rPr>
          <w:sz w:val="20"/>
          <w:szCs w:val="20"/>
          <w:color w:val="auto"/>
        </w:rPr>
      </w:pPr>
      <w:r>
        <w:rPr>
          <w:rFonts w:ascii="Arial" w:cs="Arial" w:eastAsia="Arial" w:hAnsi="Arial"/>
          <w:sz w:val="18"/>
          <w:szCs w:val="18"/>
          <w:color w:val="auto"/>
        </w:rPr>
        <w:t>Gesellschaft voraussetzt); (y) ein</w:t>
      </w:r>
    </w:p>
    <w:p>
      <w:pPr>
        <w:ind w:left="1560"/>
        <w:spacing w:after="0" w:line="235" w:lineRule="auto"/>
        <w:rPr>
          <w:sz w:val="20"/>
          <w:szCs w:val="20"/>
          <w:color w:val="auto"/>
        </w:rPr>
      </w:pPr>
      <w:r>
        <w:rPr>
          <w:rFonts w:ascii="Arial" w:cs="Arial" w:eastAsia="Arial" w:hAnsi="Arial"/>
          <w:sz w:val="18"/>
          <w:szCs w:val="18"/>
          <w:color w:val="auto"/>
        </w:rPr>
        <w:t>Verkauf, eine Vermietung oder</w:t>
      </w:r>
    </w:p>
    <w:p>
      <w:pPr>
        <w:ind w:left="1560"/>
        <w:spacing w:after="0" w:line="235" w:lineRule="auto"/>
        <w:rPr>
          <w:sz w:val="20"/>
          <w:szCs w:val="20"/>
          <w:color w:val="auto"/>
        </w:rPr>
      </w:pPr>
      <w:r>
        <w:rPr>
          <w:rFonts w:ascii="Arial" w:cs="Arial" w:eastAsia="Arial" w:hAnsi="Arial"/>
          <w:sz w:val="18"/>
          <w:szCs w:val="18"/>
          <w:color w:val="auto"/>
        </w:rPr>
        <w:t>Verpachtung, hypothekarische</w:t>
      </w:r>
    </w:p>
    <w:p>
      <w:pPr>
        <w:ind w:left="1560"/>
        <w:spacing w:after="0" w:line="235" w:lineRule="auto"/>
        <w:rPr>
          <w:sz w:val="20"/>
          <w:szCs w:val="20"/>
          <w:color w:val="auto"/>
        </w:rPr>
      </w:pPr>
      <w:r>
        <w:rPr>
          <w:rFonts w:ascii="Arial" w:cs="Arial" w:eastAsia="Arial" w:hAnsi="Arial"/>
          <w:sz w:val="18"/>
          <w:szCs w:val="18"/>
          <w:color w:val="auto"/>
        </w:rPr>
        <w:t>Belastung oder andere</w:t>
      </w:r>
    </w:p>
    <w:p>
      <w:pPr>
        <w:ind w:left="1560"/>
        <w:spacing w:after="0" w:line="234" w:lineRule="auto"/>
        <w:rPr>
          <w:sz w:val="20"/>
          <w:szCs w:val="20"/>
          <w:color w:val="auto"/>
        </w:rPr>
      </w:pPr>
      <w:r>
        <w:rPr>
          <w:rFonts w:ascii="Arial" w:cs="Arial" w:eastAsia="Arial" w:hAnsi="Arial"/>
          <w:sz w:val="18"/>
          <w:szCs w:val="18"/>
          <w:color w:val="auto"/>
        </w:rPr>
        <w:t>Verpfändung, Übertragung oder</w:t>
      </w:r>
    </w:p>
    <w:p>
      <w:pPr>
        <w:ind w:left="1560"/>
        <w:spacing w:after="0" w:line="235" w:lineRule="auto"/>
        <w:rPr>
          <w:sz w:val="20"/>
          <w:szCs w:val="20"/>
          <w:color w:val="auto"/>
        </w:rPr>
      </w:pPr>
      <w:r>
        <w:rPr>
          <w:rFonts w:ascii="Arial" w:cs="Arial" w:eastAsia="Arial" w:hAnsi="Arial"/>
          <w:sz w:val="18"/>
          <w:szCs w:val="18"/>
          <w:color w:val="auto"/>
        </w:rPr>
        <w:t>andere Verfügung (ob in einer oder</w:t>
      </w:r>
    </w:p>
    <w:p>
      <w:pPr>
        <w:ind w:left="1560"/>
        <w:spacing w:after="0" w:line="235" w:lineRule="auto"/>
        <w:rPr>
          <w:sz w:val="20"/>
          <w:szCs w:val="20"/>
          <w:color w:val="auto"/>
        </w:rPr>
      </w:pPr>
      <w:r>
        <w:rPr>
          <w:rFonts w:ascii="Arial" w:cs="Arial" w:eastAsia="Arial" w:hAnsi="Arial"/>
          <w:sz w:val="18"/>
          <w:szCs w:val="18"/>
          <w:color w:val="auto"/>
        </w:rPr>
        <w:t>mehreren Transaktionen),</w:t>
      </w:r>
    </w:p>
    <w:p>
      <w:pPr>
        <w:ind w:left="1560"/>
        <w:spacing w:after="0" w:line="235" w:lineRule="auto"/>
        <w:rPr>
          <w:sz w:val="20"/>
          <w:szCs w:val="20"/>
          <w:color w:val="auto"/>
        </w:rPr>
      </w:pPr>
      <w:r>
        <w:rPr>
          <w:rFonts w:ascii="Arial" w:cs="Arial" w:eastAsia="Arial" w:hAnsi="Arial"/>
          <w:sz w:val="18"/>
          <w:szCs w:val="18"/>
          <w:color w:val="auto"/>
        </w:rPr>
        <w:t>einschliesslich im Rahmen eines</w:t>
      </w:r>
    </w:p>
    <w:p>
      <w:pPr>
        <w:ind w:left="1560"/>
        <w:spacing w:after="0" w:line="235" w:lineRule="auto"/>
        <w:rPr>
          <w:sz w:val="20"/>
          <w:szCs w:val="20"/>
          <w:color w:val="auto"/>
        </w:rPr>
      </w:pPr>
      <w:r>
        <w:rPr>
          <w:rFonts w:ascii="Arial" w:cs="Arial" w:eastAsia="Arial" w:hAnsi="Arial"/>
          <w:sz w:val="18"/>
          <w:szCs w:val="18"/>
          <w:color w:val="auto"/>
        </w:rPr>
        <w:t>Tauschs, von Vermögenswerten</w:t>
      </w:r>
    </w:p>
    <w:p>
      <w:pPr>
        <w:ind w:left="1560"/>
        <w:spacing w:after="0" w:line="234" w:lineRule="auto"/>
        <w:rPr>
          <w:sz w:val="20"/>
          <w:szCs w:val="20"/>
          <w:color w:val="auto"/>
        </w:rPr>
      </w:pPr>
      <w:r>
        <w:rPr>
          <w:rFonts w:ascii="Arial" w:cs="Arial" w:eastAsia="Arial" w:hAnsi="Arial"/>
          <w:sz w:val="18"/>
          <w:szCs w:val="18"/>
          <w:color w:val="auto"/>
        </w:rPr>
        <w:t>der Gesellschaft oder einer</w:t>
      </w:r>
    </w:p>
    <w:p>
      <w:pPr>
        <w:ind w:left="1560"/>
        <w:spacing w:after="0" w:line="235" w:lineRule="auto"/>
        <w:rPr>
          <w:sz w:val="20"/>
          <w:szCs w:val="20"/>
          <w:color w:val="auto"/>
        </w:rPr>
      </w:pPr>
      <w:r>
        <w:rPr>
          <w:rFonts w:ascii="Arial" w:cs="Arial" w:eastAsia="Arial" w:hAnsi="Arial"/>
          <w:sz w:val="18"/>
          <w:szCs w:val="18"/>
          <w:color w:val="auto"/>
        </w:rPr>
        <w:t>direkten oder indirekten</w:t>
      </w:r>
    </w:p>
    <w:p>
      <w:pPr>
        <w:ind w:left="1560"/>
        <w:spacing w:after="0" w:line="235" w:lineRule="auto"/>
        <w:rPr>
          <w:sz w:val="20"/>
          <w:szCs w:val="20"/>
          <w:color w:val="auto"/>
        </w:rPr>
      </w:pPr>
      <w:r>
        <w:rPr>
          <w:rFonts w:ascii="Arial" w:cs="Arial" w:eastAsia="Arial" w:hAnsi="Arial"/>
          <w:sz w:val="18"/>
          <w:szCs w:val="18"/>
          <w:color w:val="auto"/>
        </w:rPr>
        <w:t>Tochtergesellschaft, die zur</w:t>
      </w:r>
    </w:p>
    <w:p>
      <w:pPr>
        <w:ind w:left="1560"/>
        <w:spacing w:after="0" w:line="235" w:lineRule="auto"/>
        <w:rPr>
          <w:sz w:val="20"/>
          <w:szCs w:val="20"/>
          <w:color w:val="auto"/>
        </w:rPr>
      </w:pPr>
      <w:r>
        <w:rPr>
          <w:rFonts w:ascii="Arial" w:cs="Arial" w:eastAsia="Arial" w:hAnsi="Arial"/>
          <w:sz w:val="18"/>
          <w:szCs w:val="18"/>
          <w:color w:val="auto"/>
        </w:rPr>
        <w:t>Mehrheit von der Gesellschaft</w:t>
      </w:r>
    </w:p>
    <w:p>
      <w:pPr>
        <w:ind w:left="1560"/>
        <w:spacing w:after="0" w:line="235" w:lineRule="auto"/>
        <w:rPr>
          <w:sz w:val="20"/>
          <w:szCs w:val="20"/>
          <w:color w:val="auto"/>
        </w:rPr>
      </w:pPr>
      <w:r>
        <w:rPr>
          <w:rFonts w:ascii="Arial" w:cs="Arial" w:eastAsia="Arial" w:hAnsi="Arial"/>
          <w:sz w:val="18"/>
          <w:szCs w:val="18"/>
          <w:color w:val="auto"/>
        </w:rPr>
        <w:t>gehalten wird (jedoch nicht an eine</w:t>
      </w:r>
    </w:p>
    <w:p>
      <w:pPr>
        <w:ind w:left="1560"/>
        <w:spacing w:after="0" w:line="234" w:lineRule="auto"/>
        <w:rPr>
          <w:sz w:val="20"/>
          <w:szCs w:val="20"/>
          <w:color w:val="auto"/>
        </w:rPr>
      </w:pPr>
      <w:r>
        <w:rPr>
          <w:rFonts w:ascii="Arial" w:cs="Arial" w:eastAsia="Arial" w:hAnsi="Arial"/>
          <w:sz w:val="18"/>
          <w:szCs w:val="18"/>
          <w:color w:val="auto"/>
        </w:rPr>
        <w:t>direkt oder indirekt zu 100%</w:t>
      </w:r>
    </w:p>
    <w:p>
      <w:pPr>
        <w:ind w:left="1560"/>
        <w:spacing w:after="0" w:line="235" w:lineRule="auto"/>
        <w:rPr>
          <w:sz w:val="20"/>
          <w:szCs w:val="20"/>
          <w:color w:val="auto"/>
        </w:rPr>
      </w:pPr>
      <w:r>
        <w:rPr>
          <w:rFonts w:ascii="Arial" w:cs="Arial" w:eastAsia="Arial" w:hAnsi="Arial"/>
          <w:sz w:val="18"/>
          <w:szCs w:val="18"/>
          <w:color w:val="auto"/>
        </w:rPr>
        <w:t>gehaltene Konzerngesellschaft</w:t>
      </w:r>
    </w:p>
    <w:p>
      <w:pPr>
        <w:ind w:left="1560"/>
        <w:spacing w:after="0" w:line="235" w:lineRule="auto"/>
        <w:rPr>
          <w:sz w:val="20"/>
          <w:szCs w:val="20"/>
          <w:color w:val="auto"/>
        </w:rPr>
      </w:pPr>
      <w:r>
        <w:rPr>
          <w:rFonts w:ascii="Arial" w:cs="Arial" w:eastAsia="Arial" w:hAnsi="Arial"/>
          <w:sz w:val="18"/>
          <w:szCs w:val="18"/>
          <w:color w:val="auto"/>
        </w:rPr>
        <w:t>oder an die Gesellschaft), soweit</w:t>
      </w:r>
    </w:p>
    <w:p>
      <w:pPr>
        <w:ind w:left="1560"/>
        <w:spacing w:after="0" w:line="235" w:lineRule="auto"/>
        <w:rPr>
          <w:sz w:val="20"/>
          <w:szCs w:val="20"/>
          <w:color w:val="auto"/>
        </w:rPr>
      </w:pPr>
      <w:r>
        <w:rPr>
          <w:rFonts w:ascii="Arial" w:cs="Arial" w:eastAsia="Arial" w:hAnsi="Arial"/>
          <w:sz w:val="18"/>
          <w:szCs w:val="18"/>
          <w:color w:val="auto"/>
        </w:rPr>
        <w:t>diese Vermögenswerte einen</w:t>
      </w:r>
    </w:p>
    <w:p>
      <w:pPr>
        <w:ind w:left="1560"/>
        <w:spacing w:after="0" w:line="235" w:lineRule="auto"/>
        <w:rPr>
          <w:sz w:val="20"/>
          <w:szCs w:val="20"/>
          <w:color w:val="auto"/>
        </w:rPr>
      </w:pPr>
      <w:r>
        <w:rPr>
          <w:rFonts w:ascii="Arial" w:cs="Arial" w:eastAsia="Arial" w:hAnsi="Arial"/>
          <w:sz w:val="18"/>
          <w:szCs w:val="18"/>
          <w:color w:val="auto"/>
        </w:rPr>
        <w:t>Marktwert von 50% oder mehr</w:t>
      </w:r>
    </w:p>
    <w:p>
      <w:pPr>
        <w:ind w:left="1560"/>
        <w:spacing w:after="0" w:line="234" w:lineRule="auto"/>
        <w:rPr>
          <w:sz w:val="20"/>
          <w:szCs w:val="20"/>
          <w:color w:val="auto"/>
        </w:rPr>
      </w:pPr>
      <w:r>
        <w:rPr>
          <w:rFonts w:ascii="Arial" w:cs="Arial" w:eastAsia="Arial" w:hAnsi="Arial"/>
          <w:sz w:val="18"/>
          <w:szCs w:val="18"/>
          <w:color w:val="auto"/>
        </w:rPr>
        <w:t>entweder des auf konsolidierter</w:t>
      </w:r>
    </w:p>
    <w:p>
      <w:pPr>
        <w:ind w:left="1560"/>
        <w:spacing w:after="0" w:line="235" w:lineRule="auto"/>
        <w:rPr>
          <w:sz w:val="20"/>
          <w:szCs w:val="20"/>
          <w:color w:val="auto"/>
        </w:rPr>
      </w:pPr>
      <w:r>
        <w:rPr>
          <w:rFonts w:ascii="Arial" w:cs="Arial" w:eastAsia="Arial" w:hAnsi="Arial"/>
          <w:sz w:val="18"/>
          <w:szCs w:val="18"/>
          <w:color w:val="auto"/>
        </w:rPr>
        <w:t>Basis aggregierten Marktwertes</w:t>
      </w:r>
    </w:p>
    <w:p>
      <w:pPr>
        <w:ind w:left="1560"/>
        <w:spacing w:after="0" w:line="235" w:lineRule="auto"/>
        <w:rPr>
          <w:sz w:val="20"/>
          <w:szCs w:val="20"/>
          <w:color w:val="auto"/>
        </w:rPr>
      </w:pPr>
      <w:r>
        <w:rPr>
          <w:rFonts w:ascii="Arial" w:cs="Arial" w:eastAsia="Arial" w:hAnsi="Arial"/>
          <w:sz w:val="18"/>
          <w:szCs w:val="18"/>
          <w:color w:val="auto"/>
        </w:rPr>
        <w:t>aller Vermögenswerte der</w:t>
      </w:r>
    </w:p>
    <w:p>
      <w:pPr>
        <w:ind w:left="1560"/>
        <w:spacing w:after="0" w:line="235" w:lineRule="auto"/>
        <w:rPr>
          <w:sz w:val="20"/>
          <w:szCs w:val="20"/>
          <w:color w:val="auto"/>
        </w:rPr>
      </w:pPr>
      <w:r>
        <w:rPr>
          <w:rFonts w:ascii="Arial" w:cs="Arial" w:eastAsia="Arial" w:hAnsi="Arial"/>
          <w:sz w:val="18"/>
          <w:szCs w:val="18"/>
          <w:color w:val="auto"/>
        </w:rPr>
        <w:t>Gesellschaft oder des aggregierten</w:t>
      </w:r>
    </w:p>
    <w:p>
      <w:pPr>
        <w:ind w:left="1560"/>
        <w:spacing w:after="0" w:line="235" w:lineRule="auto"/>
        <w:rPr>
          <w:sz w:val="20"/>
          <w:szCs w:val="20"/>
          <w:color w:val="auto"/>
        </w:rPr>
      </w:pPr>
      <w:r>
        <w:rPr>
          <w:rFonts w:ascii="Arial" w:cs="Arial" w:eastAsia="Arial" w:hAnsi="Arial"/>
          <w:sz w:val="18"/>
          <w:szCs w:val="18"/>
          <w:color w:val="auto"/>
        </w:rPr>
        <w:t>Marktwertes aller dann</w:t>
      </w:r>
    </w:p>
    <w:p>
      <w:pPr>
        <w:ind w:left="1560"/>
        <w:spacing w:after="0" w:line="234" w:lineRule="auto"/>
        <w:rPr>
          <w:sz w:val="20"/>
          <w:szCs w:val="20"/>
          <w:color w:val="auto"/>
        </w:rPr>
      </w:pPr>
      <w:r>
        <w:rPr>
          <w:rFonts w:ascii="Arial" w:cs="Arial" w:eastAsia="Arial" w:hAnsi="Arial"/>
          <w:sz w:val="18"/>
          <w:szCs w:val="18"/>
          <w:color w:val="auto"/>
        </w:rPr>
        <w:t>ausgegebenen Aktien haben,</w:t>
      </w:r>
    </w:p>
    <w:p>
      <w:pPr>
        <w:ind w:left="1560"/>
        <w:spacing w:after="0" w:line="235" w:lineRule="auto"/>
        <w:rPr>
          <w:sz w:val="20"/>
          <w:szCs w:val="20"/>
          <w:color w:val="auto"/>
        </w:rPr>
      </w:pPr>
      <w:r>
        <w:rPr>
          <w:rFonts w:ascii="Arial" w:cs="Arial" w:eastAsia="Arial" w:hAnsi="Arial"/>
          <w:sz w:val="18"/>
          <w:szCs w:val="18"/>
          <w:color w:val="auto"/>
        </w:rPr>
        <w:t>unabhängig davon, ob eine dieser</w:t>
      </w:r>
    </w:p>
    <w:p>
      <w:pPr>
        <w:spacing w:after="0" w:line="1"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Transaktionen Teil einer Auflösung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-225425</wp:posOffset>
            </wp:positionH>
            <wp:positionV relativeFrom="paragraph">
              <wp:posOffset>340360</wp:posOffset>
            </wp:positionV>
            <wp:extent cx="629221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9" w:right="40"/>
        <w:spacing w:after="0" w:line="250" w:lineRule="auto"/>
        <w:rPr>
          <w:sz w:val="20"/>
          <w:szCs w:val="20"/>
          <w:color w:val="auto"/>
        </w:rPr>
      </w:pPr>
      <w:r>
        <w:rPr>
          <w:rFonts w:ascii="Arial" w:cs="Arial" w:eastAsia="Arial" w:hAnsi="Arial"/>
          <w:sz w:val="17"/>
          <w:szCs w:val="17"/>
          <w:color w:val="auto"/>
        </w:rPr>
        <w:t>Interested Shareholder with the approval of the Board of Directors; and (iii) is approved or not opposed by a majority of the members of the Board of Directors then in office (but not less than one) who were Directors prior to any person becoming an Interested Shareholder during the previous three years or were recommended for election to succeed such Directors by a majority of such Directors. The proposed transactions referred to in the preceding sentence are limited to</w:t>
      </w:r>
    </w:p>
    <w:p>
      <w:pPr>
        <w:spacing w:after="0" w:line="205" w:lineRule="exact"/>
        <w:rPr>
          <w:sz w:val="20"/>
          <w:szCs w:val="20"/>
          <w:color w:val="auto"/>
        </w:rPr>
      </w:pPr>
    </w:p>
    <w:p>
      <w:pPr>
        <w:ind w:left="9" w:hanging="9"/>
        <w:spacing w:after="0" w:line="235" w:lineRule="auto"/>
        <w:tabs>
          <w:tab w:leader="none" w:pos="269"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 merger or consolidation of the Company (except for a merger in respect of which no vote of the Company’s shareholders is required); (y) a sale, lease, exchange, mortgage, pledge, transfer or other disposition (in one transaction or a series of transactions), whether as part of a dissolution or otherwise, of assets of the Company or of any direct or indirect majority-Owned subsidiary of the Company (other than to any direct or indirect wholly Owned subsidiary or to the Company) having an aggregate market value equal to 50% or more of either that aggregate market value of all of the assets of the Company determined on a consolidated basis or the aggregate market value of all the issued shares; or (z) a proposed tender or exchange offer for 50% or more of the voting shares then in issue. The Company shall give not less than 20 days' notice to all Interested Shareholders as well as to the other shareholders prior to the consummation of any of the transactions described in clause (x) or (y) of the second sentence of this Article 20 para. 3(d).</w:t>
      </w:r>
    </w:p>
    <w:p>
      <w:pPr>
        <w:sectPr>
          <w:pgSz w:w="11900" w:h="16838" w:orient="portrait"/>
          <w:cols w:equalWidth="0" w:num="2">
            <w:col w:w="5531" w:space="720"/>
            <w:col w:w="2869"/>
          </w:cols>
          <w:pgMar w:left="1440" w:top="670" w:right="1339" w:bottom="1440" w:gutter="0" w:footer="0" w:header="0"/>
        </w:sectPr>
      </w:pPr>
    </w:p>
    <w:bookmarkStart w:id="29" w:name="page30"/>
    <w:bookmarkEnd w:id="29"/>
    <w:p>
      <w:pPr>
        <w:jc w:val="center"/>
        <w:spacing w:after="0"/>
        <w:rPr>
          <w:sz w:val="20"/>
          <w:szCs w:val="20"/>
          <w:color w:val="auto"/>
        </w:rPr>
      </w:pPr>
      <w:r>
        <w:rPr>
          <w:rFonts w:ascii="Arial" w:cs="Arial" w:eastAsia="Arial" w:hAnsi="Arial"/>
          <w:sz w:val="13"/>
          <w:szCs w:val="13"/>
          <w:color w:val="auto"/>
        </w:rPr>
        <w:t>- 22 -</w:t>
      </w:r>
    </w:p>
    <w:p>
      <w:pPr>
        <w:sectPr>
          <w:pgSz w:w="11900" w:h="16838" w:orient="portrait"/>
          <w:cols w:equalWidth="0" w:num="1">
            <w:col w:w="9920"/>
          </w:cols>
          <w:pgMar w:left="1080" w:top="670"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120"/>
        <w:spacing w:after="0" w:line="237" w:lineRule="auto"/>
        <w:rPr>
          <w:sz w:val="20"/>
          <w:szCs w:val="20"/>
          <w:color w:val="auto"/>
        </w:rPr>
      </w:pPr>
      <w:r>
        <w:rPr>
          <w:rFonts w:ascii="Arial" w:cs="Arial" w:eastAsia="Arial" w:hAnsi="Arial"/>
          <w:sz w:val="18"/>
          <w:szCs w:val="18"/>
          <w:color w:val="auto"/>
        </w:rPr>
        <w:t>der Gesellschaft ist oder nicht; oder (z) ein vorgeschlagenes Übernahme- oder Umtauschangebot für 50% oder mehr der ausstehenden Stimmrechte der Gesellschaft. Die Gesellschaft muss Nahestehenden Aktionären sowie den übrigen Aktionären den Vollzug einer der unter (x) oder (y) des zweiten Satzes dieses Artikels 20 Abs. 3(d) erwähnten Transaktionen mindestens 20 Kalendertage vorher mitteilen.</w:t>
      </w:r>
    </w:p>
    <w:p>
      <w:pPr>
        <w:spacing w:after="0" w:line="81"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Artikel 21</w:t>
      </w:r>
    </w:p>
    <w:p>
      <w:pPr>
        <w:spacing w:after="0" w:line="114" w:lineRule="exact"/>
        <w:rPr>
          <w:sz w:val="20"/>
          <w:szCs w:val="20"/>
          <w:color w:val="auto"/>
        </w:rPr>
      </w:pPr>
    </w:p>
    <w:p>
      <w:pPr>
        <w:ind w:left="140"/>
        <w:spacing w:after="0"/>
        <w:tabs>
          <w:tab w:leader="none" w:pos="1520" w:val="left"/>
        </w:tabs>
        <w:rPr>
          <w:sz w:val="20"/>
          <w:szCs w:val="20"/>
          <w:color w:val="auto"/>
        </w:rPr>
      </w:pPr>
      <w:r>
        <w:rPr>
          <w:rFonts w:ascii="Arial" w:cs="Arial" w:eastAsia="Arial" w:hAnsi="Arial"/>
          <w:sz w:val="28"/>
          <w:szCs w:val="28"/>
          <w:color w:val="auto"/>
          <w:vertAlign w:val="superscript"/>
        </w:rPr>
        <w:t>Präsenzquorum  1</w:t>
      </w:r>
      <w:r>
        <w:rPr>
          <w:sz w:val="20"/>
          <w:szCs w:val="20"/>
          <w:color w:val="auto"/>
        </w:rPr>
        <w:tab/>
      </w:r>
      <w:r>
        <w:rPr>
          <w:rFonts w:ascii="Arial" w:cs="Arial" w:eastAsia="Arial" w:hAnsi="Arial"/>
          <w:sz w:val="17"/>
          <w:szCs w:val="17"/>
          <w:color w:val="auto"/>
        </w:rPr>
        <w:t>Die nachfolgend aufgeführten</w:t>
      </w:r>
    </w:p>
    <w:p>
      <w:pPr>
        <w:spacing w:after="0" w:line="5"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Angelegenheiten erfordern zum Zeitpunkt</w:t>
      </w:r>
    </w:p>
    <w:p>
      <w:pPr>
        <w:ind w:left="1540"/>
        <w:spacing w:after="0" w:line="234" w:lineRule="auto"/>
        <w:rPr>
          <w:sz w:val="20"/>
          <w:szCs w:val="20"/>
          <w:color w:val="auto"/>
        </w:rPr>
      </w:pPr>
      <w:r>
        <w:rPr>
          <w:rFonts w:ascii="Arial" w:cs="Arial" w:eastAsia="Arial" w:hAnsi="Arial"/>
          <w:sz w:val="18"/>
          <w:szCs w:val="18"/>
          <w:color w:val="auto"/>
        </w:rPr>
        <w:t>der Konstituierung der</w:t>
      </w:r>
    </w:p>
    <w:p>
      <w:pPr>
        <w:spacing w:after="0" w:line="1" w:lineRule="exact"/>
        <w:rPr>
          <w:sz w:val="20"/>
          <w:szCs w:val="20"/>
          <w:color w:val="auto"/>
        </w:rPr>
      </w:pPr>
    </w:p>
    <w:p>
      <w:pPr>
        <w:ind w:left="1540"/>
        <w:spacing w:after="0"/>
        <w:rPr>
          <w:sz w:val="20"/>
          <w:szCs w:val="20"/>
          <w:color w:val="auto"/>
        </w:rPr>
      </w:pPr>
      <w:r>
        <w:rPr>
          <w:rFonts w:ascii="Arial" w:cs="Arial" w:eastAsia="Arial" w:hAnsi="Arial"/>
          <w:sz w:val="17"/>
          <w:szCs w:val="17"/>
          <w:color w:val="auto"/>
        </w:rPr>
        <w:t>Generalversammlung ein Präsenzquorum</w:t>
      </w:r>
    </w:p>
    <w:p>
      <w:pPr>
        <w:spacing w:after="0" w:line="3"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von Aktionären oder deren Vertretern,</w:t>
      </w:r>
    </w:p>
    <w:p>
      <w:pPr>
        <w:ind w:left="1540"/>
        <w:spacing w:after="0" w:line="234" w:lineRule="auto"/>
        <w:rPr>
          <w:sz w:val="20"/>
          <w:szCs w:val="20"/>
          <w:color w:val="auto"/>
        </w:rPr>
      </w:pPr>
      <w:r>
        <w:rPr>
          <w:rFonts w:ascii="Arial" w:cs="Arial" w:eastAsia="Arial" w:hAnsi="Arial"/>
          <w:sz w:val="18"/>
          <w:szCs w:val="18"/>
          <w:color w:val="auto"/>
        </w:rPr>
        <w:t>welche mindestens zwei Drittel des im</w:t>
      </w:r>
    </w:p>
    <w:p>
      <w:pPr>
        <w:ind w:left="1540"/>
        <w:spacing w:after="0" w:line="235" w:lineRule="auto"/>
        <w:rPr>
          <w:sz w:val="20"/>
          <w:szCs w:val="20"/>
          <w:color w:val="auto"/>
        </w:rPr>
      </w:pPr>
      <w:r>
        <w:rPr>
          <w:rFonts w:ascii="Arial" w:cs="Arial" w:eastAsia="Arial" w:hAnsi="Arial"/>
          <w:sz w:val="18"/>
          <w:szCs w:val="18"/>
          <w:color w:val="auto"/>
        </w:rPr>
        <w:t>Handelsregister eingetragenen</w:t>
      </w:r>
    </w:p>
    <w:p>
      <w:pPr>
        <w:ind w:left="1540"/>
        <w:spacing w:after="0" w:line="235" w:lineRule="auto"/>
        <w:rPr>
          <w:sz w:val="20"/>
          <w:szCs w:val="20"/>
          <w:color w:val="auto"/>
        </w:rPr>
      </w:pPr>
      <w:r>
        <w:rPr>
          <w:rFonts w:ascii="Arial" w:cs="Arial" w:eastAsia="Arial" w:hAnsi="Arial"/>
          <w:sz w:val="18"/>
          <w:szCs w:val="18"/>
          <w:color w:val="auto"/>
        </w:rPr>
        <w:t>Aktienkapitals vertreten, damit die</w:t>
      </w:r>
    </w:p>
    <w:p>
      <w:pPr>
        <w:ind w:left="1540"/>
        <w:spacing w:after="0"/>
        <w:rPr>
          <w:sz w:val="20"/>
          <w:szCs w:val="20"/>
          <w:color w:val="auto"/>
        </w:rPr>
      </w:pPr>
      <w:r>
        <w:rPr>
          <w:rFonts w:ascii="Arial" w:cs="Arial" w:eastAsia="Arial" w:hAnsi="Arial"/>
          <w:sz w:val="18"/>
          <w:szCs w:val="18"/>
          <w:color w:val="auto"/>
        </w:rPr>
        <w:t>Generalversammlung beschlussfähig ist:</w:t>
      </w:r>
    </w:p>
    <w:p>
      <w:pPr>
        <w:spacing w:after="0" w:line="86" w:lineRule="exact"/>
        <w:rPr>
          <w:sz w:val="20"/>
          <w:szCs w:val="20"/>
          <w:color w:val="auto"/>
        </w:rPr>
      </w:pPr>
    </w:p>
    <w:p>
      <w:pPr>
        <w:ind w:left="1980" w:right="400" w:hanging="445"/>
        <w:spacing w:after="0" w:line="253" w:lineRule="auto"/>
        <w:tabs>
          <w:tab w:leader="none" w:pos="19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Die Beschlussfassung über die Abwahl eines amtierenden Verwaltungsratsmitglieds;­ und</w:t>
      </w:r>
    </w:p>
    <w:p>
      <w:pPr>
        <w:spacing w:after="0" w:line="60" w:lineRule="exact"/>
        <w:rPr>
          <w:rFonts w:ascii="Arial" w:cs="Arial" w:eastAsia="Arial" w:hAnsi="Arial"/>
          <w:sz w:val="18"/>
          <w:szCs w:val="18"/>
          <w:color w:val="auto"/>
        </w:rPr>
      </w:pPr>
    </w:p>
    <w:p>
      <w:pPr>
        <w:ind w:left="1980" w:right="100" w:hanging="445"/>
        <w:spacing w:after="0" w:line="242" w:lineRule="auto"/>
        <w:tabs>
          <w:tab w:leader="none" w:pos="19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die Beschlussfassung, diesen Artikel 21 oder Artikel 18, 19(i), 20, 22, 23 oder 24 dieser Statuten zu ergänzen, zu ändern, nicht anzuwenden oder ausser Kraft zu setzen.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line="285" w:lineRule="auto"/>
        <w:rPr>
          <w:sz w:val="20"/>
          <w:szCs w:val="20"/>
          <w:color w:val="auto"/>
        </w:rPr>
      </w:pPr>
      <w:r>
        <w:rPr>
          <w:rFonts w:ascii="Arial" w:cs="Arial" w:eastAsia="Arial" w:hAnsi="Arial"/>
          <w:sz w:val="14"/>
          <w:szCs w:val="14"/>
          <w:color w:val="auto"/>
        </w:rPr>
        <w:t>Presence 1 Quorum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Article 21</w:t>
      </w:r>
    </w:p>
    <w:p>
      <w:pPr>
        <w:spacing w:after="0" w:line="225" w:lineRule="exact"/>
        <w:rPr>
          <w:sz w:val="20"/>
          <w:szCs w:val="20"/>
          <w:color w:val="auto"/>
        </w:rPr>
      </w:pPr>
    </w:p>
    <w:p>
      <w:pPr>
        <w:ind w:left="1" w:right="440"/>
        <w:spacing w:after="0"/>
        <w:rPr>
          <w:sz w:val="20"/>
          <w:szCs w:val="20"/>
          <w:color w:val="auto"/>
        </w:rPr>
      </w:pPr>
      <w:r>
        <w:rPr>
          <w:rFonts w:ascii="Arial" w:cs="Arial" w:eastAsia="Arial" w:hAnsi="Arial"/>
          <w:sz w:val="18"/>
          <w:szCs w:val="18"/>
          <w:color w:val="auto"/>
        </w:rPr>
        <w:t>The matters set forth below require that a quorum of shareholders of record holding in person or by proxy at least two-thirds of the share capital recorded in the Commercial Register are present at the time when the General Meeting of Shareholders proceeds to business:</w:t>
      </w:r>
    </w:p>
    <w:p>
      <w:pPr>
        <w:spacing w:after="0" w:line="77" w:lineRule="exact"/>
        <w:rPr>
          <w:sz w:val="20"/>
          <w:szCs w:val="20"/>
          <w:color w:val="auto"/>
        </w:rPr>
      </w:pPr>
    </w:p>
    <w:p>
      <w:pPr>
        <w:ind w:left="501" w:right="820" w:hanging="501"/>
        <w:spacing w:after="0" w:line="301" w:lineRule="auto"/>
        <w:tabs>
          <w:tab w:leader="none" w:pos="501" w:val="left"/>
        </w:tabs>
        <w:numPr>
          <w:ilvl w:val="0"/>
          <w:numId w:val="111"/>
        </w:numPr>
        <w:rPr>
          <w:rFonts w:ascii="Arial" w:cs="Arial" w:eastAsia="Arial" w:hAnsi="Arial"/>
          <w:sz w:val="17"/>
          <w:szCs w:val="17"/>
          <w:color w:val="auto"/>
        </w:rPr>
      </w:pPr>
      <w:r>
        <w:rPr>
          <w:rFonts w:ascii="Arial" w:cs="Arial" w:eastAsia="Arial" w:hAnsi="Arial"/>
          <w:sz w:val="17"/>
          <w:szCs w:val="17"/>
          <w:color w:val="auto"/>
        </w:rPr>
        <w:t>the adoption of a resolution to remove a serving Director; and</w:t>
      </w:r>
    </w:p>
    <w:p>
      <w:pPr>
        <w:spacing w:after="0" w:line="22" w:lineRule="exact"/>
        <w:rPr>
          <w:rFonts w:ascii="Arial" w:cs="Arial" w:eastAsia="Arial" w:hAnsi="Arial"/>
          <w:sz w:val="17"/>
          <w:szCs w:val="17"/>
          <w:color w:val="auto"/>
        </w:rPr>
      </w:pPr>
    </w:p>
    <w:p>
      <w:pPr>
        <w:ind w:left="501" w:right="460" w:hanging="501"/>
        <w:spacing w:after="0" w:line="242" w:lineRule="auto"/>
        <w:tabs>
          <w:tab w:leader="none" w:pos="501"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adoption of a resolution to amend, vary, suspend the operation of, disapply or cancel this Article 21 or Articles 18, 19(i), 20, 22, 23 or 24 of these Articles of Association.</w:t>
      </w:r>
    </w:p>
    <w:p>
      <w:pPr>
        <w:spacing w:after="0" w:line="678" w:lineRule="exact"/>
        <w:rPr>
          <w:sz w:val="20"/>
          <w:szCs w:val="20"/>
          <w:color w:val="auto"/>
        </w:rPr>
      </w:pPr>
    </w:p>
    <w:p>
      <w:pPr>
        <w:sectPr>
          <w:pgSz w:w="11900" w:h="16838" w:orient="portrait"/>
          <w:cols w:equalWidth="0" w:num="3">
            <w:col w:w="4860" w:space="180"/>
            <w:col w:w="900" w:space="199"/>
            <w:col w:w="3781"/>
          </w:cols>
          <w:pgMar w:left="1080" w:top="670" w:right="899" w:bottom="1440" w:gutter="0" w:footer="0" w:header="0"/>
          <w:type w:val="continuous"/>
        </w:sectPr>
      </w:pPr>
    </w:p>
    <w:p>
      <w:pPr>
        <w:ind w:left="1540" w:right="249" w:hanging="261"/>
        <w:spacing w:after="0" w:line="227" w:lineRule="auto"/>
        <w:tabs>
          <w:tab w:leader="none" w:pos="1540" w:val="left"/>
        </w:tabs>
        <w:numPr>
          <w:ilvl w:val="0"/>
          <w:numId w:val="112"/>
        </w:numPr>
        <w:rPr>
          <w:rFonts w:ascii="Arial" w:cs="Arial" w:eastAsia="Arial" w:hAnsi="Arial"/>
          <w:sz w:val="29"/>
          <w:szCs w:val="29"/>
          <w:color w:val="auto"/>
          <w:vertAlign w:val="superscript"/>
        </w:rPr>
      </w:pPr>
      <w:r>
        <w:rPr>
          <w:rFonts w:ascii="Arial" w:cs="Arial" w:eastAsia="Arial" w:hAnsi="Arial"/>
          <w:sz w:val="18"/>
          <w:szCs w:val="18"/>
          <w:color w:val="auto"/>
        </w:rPr>
        <w:t>Jede andere Beschlussfassung oder Wahl setzt zu ihrer Gültigkeit voraus, dass zum Zeitpunkt der Konstituierung der Generalversammlung zumindest die Mehrheit aller stimmberechtigten Aktien anwesend ist. Die Aktionäre können mit der Behandlung der Traktanden fortfahren, selbst wenn Aktionäre nach Bekanntgabe des Quorums durch den Vorsitzenden die Generalversammlung verlassen und damit weniger als das geforderte Präsenzquorum an der Generalversammlung verbleibt.</w:t>
      </w:r>
    </w:p>
    <w:p>
      <w:pPr>
        <w:spacing w:after="0" w:line="20" w:lineRule="exact"/>
        <w:rPr>
          <w:sz w:val="20"/>
          <w:szCs w:val="20"/>
          <w:color w:val="auto"/>
        </w:rPr>
      </w:pPr>
      <w:r>
        <w:rPr>
          <w:sz w:val="20"/>
          <w:szCs w:val="20"/>
          <w:color w:val="auto"/>
        </w:rPr>
        <w:br w:type="column"/>
      </w:r>
    </w:p>
    <w:p>
      <w:pPr>
        <w:ind w:left="271" w:right="460" w:hanging="271"/>
        <w:spacing w:after="0" w:line="226" w:lineRule="auto"/>
        <w:tabs>
          <w:tab w:leader="none" w:pos="271" w:val="left"/>
        </w:tabs>
        <w:numPr>
          <w:ilvl w:val="0"/>
          <w:numId w:val="113"/>
        </w:numPr>
        <w:rPr>
          <w:rFonts w:ascii="Arial" w:cs="Arial" w:eastAsia="Arial" w:hAnsi="Arial"/>
          <w:sz w:val="29"/>
          <w:szCs w:val="29"/>
          <w:color w:val="auto"/>
          <w:vertAlign w:val="superscript"/>
        </w:rPr>
      </w:pPr>
      <w:r>
        <w:rPr>
          <w:rFonts w:ascii="Arial" w:cs="Arial" w:eastAsia="Arial" w:hAnsi="Arial"/>
          <w:sz w:val="18"/>
          <w:szCs w:val="18"/>
          <w:color w:val="auto"/>
        </w:rPr>
        <w:t>The adoption of any other resolution or election requires that at least a majority of all the Shares entitled to vote be represented at the time when the General Meeting of Shareholders proceeds to business. The shareholders present at a General Meeting of Shareholders may continue to transact business, despite the withdrawal of shareholders from such General Meeting of Shareholders following announcement of the presence quorum at that meeting.</w:t>
      </w:r>
    </w:p>
    <w:p>
      <w:pPr>
        <w:spacing w:after="0" w:line="284" w:lineRule="exact"/>
        <w:rPr>
          <w:sz w:val="20"/>
          <w:szCs w:val="20"/>
          <w:color w:val="auto"/>
        </w:rPr>
      </w:pPr>
    </w:p>
    <w:p>
      <w:pPr>
        <w:sectPr>
          <w:pgSz w:w="11900" w:h="16838" w:orient="portrait"/>
          <w:cols w:equalWidth="0" w:num="2">
            <w:col w:w="5149" w:space="720"/>
            <w:col w:w="4051"/>
          </w:cols>
          <w:pgMar w:left="1080" w:top="670" w:right="89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4540" w:type="dxa"/>
            <w:vAlign w:val="bottom"/>
          </w:tcPr>
          <w:p>
            <w:pPr>
              <w:ind w:left="1540"/>
              <w:spacing w:after="0"/>
              <w:rPr>
                <w:sz w:val="20"/>
                <w:szCs w:val="20"/>
                <w:color w:val="auto"/>
              </w:rPr>
            </w:pPr>
            <w:r>
              <w:rPr>
                <w:rFonts w:ascii="Arial" w:cs="Arial" w:eastAsia="Arial" w:hAnsi="Arial"/>
                <w:sz w:val="18"/>
                <w:szCs w:val="18"/>
                <w:i w:val="1"/>
                <w:iCs w:val="1"/>
                <w:color w:val="auto"/>
              </w:rPr>
              <w:t>B. Verwaltungsrat</w:t>
            </w:r>
          </w:p>
        </w:tc>
        <w:tc>
          <w:tcPr>
            <w:tcW w:w="5380" w:type="dxa"/>
            <w:vAlign w:val="bottom"/>
          </w:tcPr>
          <w:p>
            <w:pPr>
              <w:ind w:left="1600"/>
              <w:spacing w:after="0"/>
              <w:rPr>
                <w:sz w:val="20"/>
                <w:szCs w:val="20"/>
                <w:color w:val="auto"/>
              </w:rPr>
            </w:pPr>
            <w:r>
              <w:rPr>
                <w:rFonts w:ascii="Arial" w:cs="Arial" w:eastAsia="Arial" w:hAnsi="Arial"/>
                <w:sz w:val="18"/>
                <w:szCs w:val="18"/>
                <w:i w:val="1"/>
                <w:iCs w:val="1"/>
                <w:color w:val="auto"/>
              </w:rPr>
              <w:t>B. Board of Directors</w:t>
            </w:r>
          </w:p>
        </w:tc>
      </w:tr>
      <w:tr>
        <w:trPr>
          <w:trHeight w:val="440"/>
        </w:trPr>
        <w:tc>
          <w:tcPr>
            <w:tcW w:w="4540" w:type="dxa"/>
            <w:vAlign w:val="bottom"/>
          </w:tcPr>
          <w:p>
            <w:pPr>
              <w:ind w:left="1540"/>
              <w:spacing w:after="0"/>
              <w:rPr>
                <w:sz w:val="20"/>
                <w:szCs w:val="20"/>
                <w:color w:val="auto"/>
              </w:rPr>
            </w:pPr>
            <w:r>
              <w:rPr>
                <w:rFonts w:ascii="Arial" w:cs="Arial" w:eastAsia="Arial" w:hAnsi="Arial"/>
                <w:sz w:val="18"/>
                <w:szCs w:val="18"/>
                <w:b w:val="1"/>
                <w:bCs w:val="1"/>
                <w:color w:val="auto"/>
              </w:rPr>
              <w:t>Artikel 22</w:t>
            </w:r>
          </w:p>
        </w:tc>
        <w:tc>
          <w:tcPr>
            <w:tcW w:w="5380" w:type="dxa"/>
            <w:vAlign w:val="bottom"/>
          </w:tcPr>
          <w:p>
            <w:pPr>
              <w:ind w:left="1600"/>
              <w:spacing w:after="0"/>
              <w:rPr>
                <w:sz w:val="20"/>
                <w:szCs w:val="20"/>
                <w:color w:val="auto"/>
              </w:rPr>
            </w:pPr>
            <w:r>
              <w:rPr>
                <w:rFonts w:ascii="Arial" w:cs="Arial" w:eastAsia="Arial" w:hAnsi="Arial"/>
                <w:sz w:val="18"/>
                <w:szCs w:val="18"/>
                <w:b w:val="1"/>
                <w:bCs w:val="1"/>
                <w:color w:val="auto"/>
              </w:rPr>
              <w:t>Article 22</w:t>
            </w:r>
          </w:p>
        </w:tc>
      </w:tr>
      <w:tr>
        <w:trPr>
          <w:trHeight w:val="697"/>
        </w:trPr>
        <w:tc>
          <w:tcPr>
            <w:tcW w:w="4540" w:type="dxa"/>
            <w:vAlign w:val="bottom"/>
            <w:tcBorders>
              <w:bottom w:val="single" w:sz="8" w:color="auto"/>
            </w:tcBorders>
          </w:tcPr>
          <w:p>
            <w:pPr>
              <w:spacing w:after="0"/>
              <w:rPr>
                <w:sz w:val="24"/>
                <w:szCs w:val="24"/>
                <w:color w:val="auto"/>
              </w:rPr>
            </w:pPr>
          </w:p>
        </w:tc>
        <w:tc>
          <w:tcPr>
            <w:tcW w:w="53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1080" w:top="670" w:right="899" w:bottom="1440" w:gutter="0" w:footer="0" w:header="0"/>
          <w:type w:val="continuous"/>
        </w:sectPr>
      </w:pPr>
    </w:p>
    <w:bookmarkStart w:id="30" w:name="page31"/>
    <w:bookmarkEnd w:id="3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line="285" w:lineRule="auto"/>
        <w:rPr>
          <w:sz w:val="20"/>
          <w:szCs w:val="20"/>
          <w:color w:val="auto"/>
        </w:rPr>
      </w:pPr>
      <w:r>
        <w:rPr>
          <w:rFonts w:ascii="Arial" w:cs="Arial" w:eastAsia="Arial" w:hAnsi="Arial"/>
          <w:sz w:val="14"/>
          <w:szCs w:val="14"/>
          <w:color w:val="auto"/>
        </w:rPr>
        <w:t>Anzahl der Verwaltungsräte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Der Verwaltungsrat besteht aus mindestens zwei und höchstens 11 Mitgliedern. Vorbehalten bleibt Artikel 38 dieser Statuten.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- 23 -</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80"/>
        <w:spacing w:after="0"/>
        <w:rPr>
          <w:sz w:val="20"/>
          <w:szCs w:val="20"/>
          <w:color w:val="auto"/>
        </w:rPr>
      </w:pPr>
      <w:r>
        <w:rPr>
          <w:rFonts w:ascii="Arial" w:cs="Arial" w:eastAsia="Arial" w:hAnsi="Arial"/>
          <w:sz w:val="14"/>
          <w:szCs w:val="14"/>
          <w:color w:val="auto"/>
        </w:rPr>
        <w:t>Number of</w:t>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4"/>
          <w:szCs w:val="14"/>
          <w:color w:val="auto"/>
        </w:rPr>
        <w:t>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The Board of Directors shall consist of no less than two and no more than 11 members. Article 38 of these Articles of Association remains reserved.</w:t>
      </w:r>
    </w:p>
    <w:p>
      <w:pPr>
        <w:spacing w:after="0" w:line="66" w:lineRule="exact"/>
        <w:rPr>
          <w:sz w:val="20"/>
          <w:szCs w:val="20"/>
          <w:color w:val="auto"/>
        </w:rPr>
      </w:pPr>
    </w:p>
    <w:p>
      <w:pPr>
        <w:sectPr>
          <w:pgSz w:w="11900" w:h="16838" w:orient="portrait"/>
          <w:cols w:equalWidth="0" w:num="4">
            <w:col w:w="1020" w:space="380"/>
            <w:col w:w="3220" w:space="40"/>
            <w:col w:w="840" w:space="640"/>
            <w:col w:w="3180"/>
          </w:cols>
          <w:pgMar w:left="1220" w:top="670" w:right="1359" w:bottom="1440" w:gutter="0" w:footer="0" w:header="0"/>
        </w:sectPr>
      </w:pPr>
    </w:p>
    <w:p>
      <w:pPr>
        <w:ind w:left="1400"/>
        <w:spacing w:after="0"/>
        <w:rPr>
          <w:sz w:val="20"/>
          <w:szCs w:val="20"/>
          <w:color w:val="auto"/>
        </w:rPr>
      </w:pPr>
      <w:r>
        <w:rPr>
          <w:rFonts w:ascii="Arial" w:cs="Arial" w:eastAsia="Arial" w:hAnsi="Arial"/>
          <w:sz w:val="18"/>
          <w:szCs w:val="18"/>
          <w:b w:val="1"/>
          <w:bCs w:val="1"/>
          <w:color w:val="auto"/>
        </w:rPr>
        <w:t>Artikel 23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Article 23</w:t>
      </w:r>
    </w:p>
    <w:p>
      <w:pPr>
        <w:spacing w:after="0" w:line="200" w:lineRule="exact"/>
        <w:rPr>
          <w:sz w:val="20"/>
          <w:szCs w:val="20"/>
          <w:color w:val="auto"/>
        </w:rPr>
      </w:pPr>
    </w:p>
    <w:p>
      <w:pPr>
        <w:sectPr>
          <w:pgSz w:w="11900" w:h="16838" w:orient="portrait"/>
          <w:cols w:equalWidth="0" w:num="2">
            <w:col w:w="5420" w:space="720"/>
            <w:col w:w="3180"/>
          </w:cols>
          <w:pgMar w:left="1220" w:top="670" w:right="1359" w:bottom="1440" w:gutter="0" w:footer="0" w:header="0"/>
          <w:type w:val="continuous"/>
        </w:sectPr>
      </w:pP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20"/>
                <w:szCs w:val="20"/>
                <w:color w:val="auto"/>
              </w:rPr>
            </w:pPr>
            <w:r>
              <w:rPr>
                <w:rFonts w:ascii="Arial" w:cs="Arial" w:eastAsia="Arial" w:hAnsi="Arial"/>
                <w:sz w:val="14"/>
                <w:szCs w:val="14"/>
                <w:color w:val="auto"/>
              </w:rPr>
              <w:t>Amtsdauer</w:t>
            </w:r>
          </w:p>
        </w:tc>
        <w:tc>
          <w:tcPr>
            <w:tcW w:w="40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3340" w:type="dxa"/>
            <w:vAlign w:val="bottom"/>
          </w:tcPr>
          <w:p>
            <w:pPr>
              <w:ind w:left="80"/>
              <w:spacing w:after="0"/>
              <w:rPr>
                <w:sz w:val="20"/>
                <w:szCs w:val="20"/>
                <w:color w:val="auto"/>
              </w:rPr>
            </w:pPr>
            <w:r>
              <w:rPr>
                <w:rFonts w:ascii="Arial" w:cs="Arial" w:eastAsia="Arial" w:hAnsi="Arial"/>
                <w:sz w:val="18"/>
                <w:szCs w:val="18"/>
                <w:color w:val="auto"/>
              </w:rPr>
              <w:t>Die Aktionäre wählen die Mitglieder des</w:t>
            </w:r>
          </w:p>
        </w:tc>
      </w:tr>
      <w:tr>
        <w:trPr>
          <w:trHeight w:val="203"/>
        </w:trPr>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340" w:type="dxa"/>
            <w:vAlign w:val="bottom"/>
          </w:tcPr>
          <w:p>
            <w:pPr>
              <w:ind w:left="80"/>
              <w:spacing w:after="0" w:line="202" w:lineRule="exact"/>
              <w:rPr>
                <w:sz w:val="20"/>
                <w:szCs w:val="20"/>
                <w:color w:val="auto"/>
              </w:rPr>
            </w:pPr>
            <w:r>
              <w:rPr>
                <w:rFonts w:ascii="Arial" w:cs="Arial" w:eastAsia="Arial" w:hAnsi="Arial"/>
                <w:sz w:val="18"/>
                <w:szCs w:val="18"/>
                <w:color w:val="auto"/>
              </w:rPr>
              <w:t>Verwaltungsrates und den</w:t>
            </w:r>
          </w:p>
        </w:tc>
      </w:tr>
      <w:tr>
        <w:trPr>
          <w:trHeight w:val="203"/>
        </w:trPr>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340" w:type="dxa"/>
            <w:vAlign w:val="bottom"/>
          </w:tcPr>
          <w:p>
            <w:pPr>
              <w:ind w:left="80"/>
              <w:spacing w:after="0" w:line="202" w:lineRule="exact"/>
              <w:rPr>
                <w:sz w:val="20"/>
                <w:szCs w:val="20"/>
                <w:color w:val="auto"/>
              </w:rPr>
            </w:pPr>
            <w:r>
              <w:rPr>
                <w:rFonts w:ascii="Arial" w:cs="Arial" w:eastAsia="Arial" w:hAnsi="Arial"/>
                <w:sz w:val="18"/>
                <w:szCs w:val="18"/>
                <w:color w:val="auto"/>
              </w:rPr>
              <w:t>Verwaltungsratspräsidenten einzeln an</w:t>
            </w:r>
          </w:p>
        </w:tc>
      </w:tr>
      <w:tr>
        <w:trPr>
          <w:trHeight w:val="203"/>
        </w:trPr>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340" w:type="dxa"/>
            <w:vAlign w:val="bottom"/>
          </w:tcPr>
          <w:p>
            <w:pPr>
              <w:ind w:left="80"/>
              <w:spacing w:after="0" w:line="202" w:lineRule="exact"/>
              <w:rPr>
                <w:sz w:val="20"/>
                <w:szCs w:val="20"/>
                <w:color w:val="auto"/>
              </w:rPr>
            </w:pPr>
            <w:r>
              <w:rPr>
                <w:rFonts w:ascii="Arial" w:cs="Arial" w:eastAsia="Arial" w:hAnsi="Arial"/>
                <w:sz w:val="18"/>
                <w:szCs w:val="18"/>
                <w:color w:val="auto"/>
              </w:rPr>
              <w:t>einer Generalversammlung für eine</w:t>
            </w:r>
          </w:p>
        </w:tc>
      </w:tr>
      <w:tr>
        <w:trPr>
          <w:trHeight w:val="203"/>
        </w:trPr>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340" w:type="dxa"/>
            <w:vAlign w:val="bottom"/>
          </w:tcPr>
          <w:p>
            <w:pPr>
              <w:ind w:left="80"/>
              <w:spacing w:after="0" w:line="202" w:lineRule="exact"/>
              <w:rPr>
                <w:sz w:val="20"/>
                <w:szCs w:val="20"/>
                <w:color w:val="auto"/>
              </w:rPr>
            </w:pPr>
            <w:r>
              <w:rPr>
                <w:rFonts w:ascii="Arial" w:cs="Arial" w:eastAsia="Arial" w:hAnsi="Arial"/>
                <w:sz w:val="18"/>
                <w:szCs w:val="18"/>
                <w:color w:val="auto"/>
              </w:rPr>
              <w:t>Amtsdauer bis zum Abschluss der</w:t>
            </w:r>
          </w:p>
        </w:tc>
      </w:tr>
      <w:tr>
        <w:trPr>
          <w:trHeight w:val="203"/>
        </w:trPr>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340" w:type="dxa"/>
            <w:vAlign w:val="bottom"/>
          </w:tcPr>
          <w:p>
            <w:pPr>
              <w:ind w:left="80"/>
              <w:spacing w:after="0" w:line="202" w:lineRule="exact"/>
              <w:rPr>
                <w:sz w:val="20"/>
                <w:szCs w:val="20"/>
                <w:color w:val="auto"/>
              </w:rPr>
            </w:pPr>
            <w:r>
              <w:rPr>
                <w:rFonts w:ascii="Arial" w:cs="Arial" w:eastAsia="Arial" w:hAnsi="Arial"/>
                <w:sz w:val="18"/>
                <w:szCs w:val="18"/>
                <w:color w:val="auto"/>
              </w:rPr>
              <w:t>nächsten ordentlichen</w:t>
            </w:r>
          </w:p>
        </w:tc>
      </w:tr>
      <w:tr>
        <w:trPr>
          <w:trHeight w:val="203"/>
        </w:trPr>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340" w:type="dxa"/>
            <w:vAlign w:val="bottom"/>
          </w:tcPr>
          <w:p>
            <w:pPr>
              <w:ind w:left="80"/>
              <w:spacing w:after="0" w:line="202" w:lineRule="exact"/>
              <w:rPr>
                <w:sz w:val="20"/>
                <w:szCs w:val="20"/>
                <w:color w:val="auto"/>
              </w:rPr>
            </w:pPr>
            <w:r>
              <w:rPr>
                <w:rFonts w:ascii="Arial" w:cs="Arial" w:eastAsia="Arial" w:hAnsi="Arial"/>
                <w:sz w:val="18"/>
                <w:szCs w:val="18"/>
                <w:color w:val="auto"/>
              </w:rPr>
              <w:t>Generalversammlung. Wiederwahl ist</w:t>
            </w:r>
          </w:p>
        </w:tc>
      </w:tr>
      <w:tr>
        <w:trPr>
          <w:trHeight w:val="203"/>
        </w:trPr>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340" w:type="dxa"/>
            <w:vAlign w:val="bottom"/>
          </w:tcPr>
          <w:p>
            <w:pPr>
              <w:ind w:left="80"/>
              <w:spacing w:after="0" w:line="202" w:lineRule="exact"/>
              <w:rPr>
                <w:sz w:val="20"/>
                <w:szCs w:val="20"/>
                <w:color w:val="auto"/>
              </w:rPr>
            </w:pPr>
            <w:r>
              <w:rPr>
                <w:rFonts w:ascii="Arial" w:cs="Arial" w:eastAsia="Arial" w:hAnsi="Arial"/>
                <w:sz w:val="18"/>
                <w:szCs w:val="18"/>
                <w:color w:val="auto"/>
              </w:rPr>
              <w:t>möglich. Ist das Amt des</w:t>
            </w:r>
          </w:p>
        </w:tc>
      </w:tr>
      <w:tr>
        <w:trPr>
          <w:trHeight w:val="203"/>
        </w:trPr>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340" w:type="dxa"/>
            <w:vAlign w:val="bottom"/>
          </w:tcPr>
          <w:p>
            <w:pPr>
              <w:ind w:left="80"/>
              <w:spacing w:after="0" w:line="202" w:lineRule="exact"/>
              <w:rPr>
                <w:sz w:val="20"/>
                <w:szCs w:val="20"/>
                <w:color w:val="auto"/>
              </w:rPr>
            </w:pPr>
            <w:r>
              <w:rPr>
                <w:rFonts w:ascii="Arial" w:cs="Arial" w:eastAsia="Arial" w:hAnsi="Arial"/>
                <w:sz w:val="18"/>
                <w:szCs w:val="18"/>
                <w:color w:val="auto"/>
              </w:rPr>
              <w:t>Verwaltungsratspräsidenten aus</w:t>
            </w:r>
          </w:p>
        </w:tc>
      </w:tr>
      <w:tr>
        <w:trPr>
          <w:trHeight w:val="203"/>
        </w:trPr>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340" w:type="dxa"/>
            <w:vAlign w:val="bottom"/>
          </w:tcPr>
          <w:p>
            <w:pPr>
              <w:ind w:left="80"/>
              <w:spacing w:after="0" w:line="202" w:lineRule="exact"/>
              <w:rPr>
                <w:sz w:val="20"/>
                <w:szCs w:val="20"/>
                <w:color w:val="auto"/>
              </w:rPr>
            </w:pPr>
            <w:r>
              <w:rPr>
                <w:rFonts w:ascii="Arial" w:cs="Arial" w:eastAsia="Arial" w:hAnsi="Arial"/>
                <w:sz w:val="18"/>
                <w:szCs w:val="18"/>
                <w:color w:val="auto"/>
              </w:rPr>
              <w:t>irgendeinem Grund vakant, ernennt der</w:t>
            </w:r>
          </w:p>
        </w:tc>
      </w:tr>
      <w:tr>
        <w:trPr>
          <w:trHeight w:val="203"/>
        </w:trPr>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340" w:type="dxa"/>
            <w:vAlign w:val="bottom"/>
          </w:tcPr>
          <w:p>
            <w:pPr>
              <w:ind w:left="80"/>
              <w:spacing w:after="0" w:line="202" w:lineRule="exact"/>
              <w:rPr>
                <w:sz w:val="20"/>
                <w:szCs w:val="20"/>
                <w:color w:val="auto"/>
              </w:rPr>
            </w:pPr>
            <w:r>
              <w:rPr>
                <w:rFonts w:ascii="Arial" w:cs="Arial" w:eastAsia="Arial" w:hAnsi="Arial"/>
                <w:sz w:val="18"/>
                <w:szCs w:val="18"/>
                <w:color w:val="auto"/>
              </w:rPr>
              <w:t>Verwaltungsrat den</w:t>
            </w:r>
          </w:p>
        </w:tc>
      </w:tr>
      <w:tr>
        <w:trPr>
          <w:trHeight w:val="203"/>
        </w:trPr>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340" w:type="dxa"/>
            <w:vAlign w:val="bottom"/>
          </w:tcPr>
          <w:p>
            <w:pPr>
              <w:ind w:left="80"/>
              <w:spacing w:after="0" w:line="202" w:lineRule="exact"/>
              <w:rPr>
                <w:sz w:val="20"/>
                <w:szCs w:val="20"/>
                <w:color w:val="auto"/>
              </w:rPr>
            </w:pPr>
            <w:r>
              <w:rPr>
                <w:rFonts w:ascii="Arial" w:cs="Arial" w:eastAsia="Arial" w:hAnsi="Arial"/>
                <w:sz w:val="18"/>
                <w:szCs w:val="18"/>
                <w:color w:val="auto"/>
              </w:rPr>
              <w:t>Verwaltungsratspräsidenten für eine</w:t>
            </w:r>
          </w:p>
        </w:tc>
      </w:tr>
      <w:tr>
        <w:trPr>
          <w:trHeight w:val="203"/>
        </w:trPr>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340" w:type="dxa"/>
            <w:vAlign w:val="bottom"/>
          </w:tcPr>
          <w:p>
            <w:pPr>
              <w:ind w:left="80"/>
              <w:spacing w:after="0" w:line="202" w:lineRule="exact"/>
              <w:rPr>
                <w:sz w:val="20"/>
                <w:szCs w:val="20"/>
                <w:color w:val="auto"/>
              </w:rPr>
            </w:pPr>
            <w:r>
              <w:rPr>
                <w:rFonts w:ascii="Arial" w:cs="Arial" w:eastAsia="Arial" w:hAnsi="Arial"/>
                <w:sz w:val="18"/>
                <w:szCs w:val="18"/>
                <w:color w:val="auto"/>
              </w:rPr>
              <w:t>Amtsdauer bis zum Abschluss der</w:t>
            </w:r>
          </w:p>
        </w:tc>
      </w:tr>
      <w:tr>
        <w:trPr>
          <w:trHeight w:val="203"/>
        </w:trPr>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340" w:type="dxa"/>
            <w:vAlign w:val="bottom"/>
          </w:tcPr>
          <w:p>
            <w:pPr>
              <w:ind w:left="80"/>
              <w:spacing w:after="0" w:line="202" w:lineRule="exact"/>
              <w:rPr>
                <w:sz w:val="20"/>
                <w:szCs w:val="20"/>
                <w:color w:val="auto"/>
              </w:rPr>
            </w:pPr>
            <w:r>
              <w:rPr>
                <w:rFonts w:ascii="Arial" w:cs="Arial" w:eastAsia="Arial" w:hAnsi="Arial"/>
                <w:sz w:val="18"/>
                <w:szCs w:val="18"/>
                <w:color w:val="auto"/>
              </w:rPr>
              <w:t>nächsten ordentlichen</w:t>
            </w:r>
          </w:p>
        </w:tc>
      </w:tr>
      <w:tr>
        <w:trPr>
          <w:trHeight w:val="239"/>
        </w:trPr>
        <w:tc>
          <w:tcPr>
            <w:tcW w:w="9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340" w:type="dxa"/>
            <w:vAlign w:val="bottom"/>
          </w:tcPr>
          <w:p>
            <w:pPr>
              <w:ind w:left="80"/>
              <w:spacing w:after="0"/>
              <w:rPr>
                <w:sz w:val="20"/>
                <w:szCs w:val="20"/>
                <w:color w:val="auto"/>
              </w:rPr>
            </w:pPr>
            <w:r>
              <w:rPr>
                <w:rFonts w:ascii="Arial" w:cs="Arial" w:eastAsia="Arial" w:hAnsi="Arial"/>
                <w:sz w:val="18"/>
                <w:szCs w:val="18"/>
                <w:color w:val="auto"/>
              </w:rPr>
              <w:t>Generalversammlung.</w:t>
            </w:r>
          </w:p>
        </w:tc>
      </w:tr>
      <w:tr>
        <w:trPr>
          <w:trHeight w:val="274"/>
        </w:trPr>
        <w:tc>
          <w:tcPr>
            <w:tcW w:w="920" w:type="dxa"/>
            <w:vAlign w:val="bottom"/>
          </w:tcPr>
          <w:p>
            <w:pPr>
              <w:spacing w:after="0"/>
              <w:rPr>
                <w:sz w:val="23"/>
                <w:szCs w:val="23"/>
                <w:color w:val="auto"/>
              </w:rPr>
            </w:pPr>
          </w:p>
        </w:tc>
        <w:tc>
          <w:tcPr>
            <w:tcW w:w="40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3340" w:type="dxa"/>
            <w:vAlign w:val="bottom"/>
          </w:tcPr>
          <w:p>
            <w:pPr>
              <w:ind w:left="80"/>
              <w:spacing w:after="0"/>
              <w:rPr>
                <w:sz w:val="20"/>
                <w:szCs w:val="20"/>
                <w:color w:val="auto"/>
              </w:rPr>
            </w:pPr>
            <w:r>
              <w:rPr>
                <w:rFonts w:ascii="Arial" w:cs="Arial" w:eastAsia="Arial" w:hAnsi="Arial"/>
                <w:sz w:val="18"/>
                <w:szCs w:val="18"/>
                <w:color w:val="auto"/>
              </w:rPr>
              <w:t>Wenn ein Verwaltungsratsmitglied vor</w:t>
            </w:r>
          </w:p>
        </w:tc>
      </w:tr>
      <w:tr>
        <w:trPr>
          <w:trHeight w:val="203"/>
        </w:trPr>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340" w:type="dxa"/>
            <w:vAlign w:val="bottom"/>
          </w:tcPr>
          <w:p>
            <w:pPr>
              <w:ind w:left="80"/>
              <w:spacing w:after="0" w:line="202" w:lineRule="exact"/>
              <w:rPr>
                <w:sz w:val="20"/>
                <w:szCs w:val="20"/>
                <w:color w:val="auto"/>
              </w:rPr>
            </w:pPr>
            <w:r>
              <w:rPr>
                <w:rFonts w:ascii="Arial" w:cs="Arial" w:eastAsia="Arial" w:hAnsi="Arial"/>
                <w:sz w:val="18"/>
                <w:szCs w:val="18"/>
                <w:color w:val="auto"/>
              </w:rPr>
              <w:t>Ablauf seiner Amtsdauer aus welchen</w:t>
            </w:r>
          </w:p>
        </w:tc>
      </w:tr>
      <w:tr>
        <w:trPr>
          <w:trHeight w:val="203"/>
        </w:trPr>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340" w:type="dxa"/>
            <w:vAlign w:val="bottom"/>
          </w:tcPr>
          <w:p>
            <w:pPr>
              <w:ind w:left="80"/>
              <w:spacing w:after="0" w:line="202" w:lineRule="exact"/>
              <w:rPr>
                <w:sz w:val="20"/>
                <w:szCs w:val="20"/>
                <w:color w:val="auto"/>
              </w:rPr>
            </w:pPr>
            <w:r>
              <w:rPr>
                <w:rFonts w:ascii="Arial" w:cs="Arial" w:eastAsia="Arial" w:hAnsi="Arial"/>
                <w:sz w:val="18"/>
                <w:szCs w:val="18"/>
                <w:color w:val="auto"/>
              </w:rPr>
              <w:t>Gründen auch immer ersetzt wird, endet</w:t>
            </w:r>
          </w:p>
        </w:tc>
      </w:tr>
      <w:tr>
        <w:trPr>
          <w:trHeight w:val="203"/>
        </w:trPr>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340" w:type="dxa"/>
            <w:vAlign w:val="bottom"/>
          </w:tcPr>
          <w:p>
            <w:pPr>
              <w:ind w:left="80"/>
              <w:spacing w:after="0" w:line="202" w:lineRule="exact"/>
              <w:rPr>
                <w:sz w:val="20"/>
                <w:szCs w:val="20"/>
                <w:color w:val="auto"/>
              </w:rPr>
            </w:pPr>
            <w:r>
              <w:rPr>
                <w:rFonts w:ascii="Arial" w:cs="Arial" w:eastAsia="Arial" w:hAnsi="Arial"/>
                <w:sz w:val="18"/>
                <w:szCs w:val="18"/>
                <w:color w:val="auto"/>
              </w:rPr>
              <w:t>die Amtsdauer des an seiner Stelle</w:t>
            </w:r>
          </w:p>
        </w:tc>
      </w:tr>
      <w:tr>
        <w:trPr>
          <w:trHeight w:val="203"/>
        </w:trPr>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340" w:type="dxa"/>
            <w:vAlign w:val="bottom"/>
          </w:tcPr>
          <w:p>
            <w:pPr>
              <w:ind w:left="80"/>
              <w:spacing w:after="0" w:line="202" w:lineRule="exact"/>
              <w:rPr>
                <w:sz w:val="20"/>
                <w:szCs w:val="20"/>
                <w:color w:val="auto"/>
              </w:rPr>
            </w:pPr>
            <w:r>
              <w:rPr>
                <w:rFonts w:ascii="Arial" w:cs="Arial" w:eastAsia="Arial" w:hAnsi="Arial"/>
                <w:sz w:val="18"/>
                <w:szCs w:val="18"/>
                <w:color w:val="auto"/>
              </w:rPr>
              <w:t>gewählten neuen</w:t>
            </w:r>
          </w:p>
        </w:tc>
      </w:tr>
      <w:tr>
        <w:trPr>
          <w:trHeight w:val="203"/>
        </w:trPr>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340" w:type="dxa"/>
            <w:vAlign w:val="bottom"/>
          </w:tcPr>
          <w:p>
            <w:pPr>
              <w:ind w:left="80"/>
              <w:spacing w:after="0" w:line="202" w:lineRule="exact"/>
              <w:rPr>
                <w:sz w:val="20"/>
                <w:szCs w:val="20"/>
                <w:color w:val="auto"/>
              </w:rPr>
            </w:pPr>
            <w:r>
              <w:rPr>
                <w:rFonts w:ascii="Arial" w:cs="Arial" w:eastAsia="Arial" w:hAnsi="Arial"/>
                <w:sz w:val="18"/>
                <w:szCs w:val="18"/>
                <w:color w:val="auto"/>
                <w:w w:val="99"/>
              </w:rPr>
              <w:t>Verwaltungsratsmitgliedes mit dem Ende</w:t>
            </w:r>
          </w:p>
        </w:tc>
      </w:tr>
      <w:tr>
        <w:trPr>
          <w:trHeight w:val="239"/>
        </w:trPr>
        <w:tc>
          <w:tcPr>
            <w:tcW w:w="9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340" w:type="dxa"/>
            <w:vAlign w:val="bottom"/>
          </w:tcPr>
          <w:p>
            <w:pPr>
              <w:ind w:left="80"/>
              <w:spacing w:after="0"/>
              <w:rPr>
                <w:sz w:val="20"/>
                <w:szCs w:val="20"/>
                <w:color w:val="auto"/>
              </w:rPr>
            </w:pPr>
            <w:r>
              <w:rPr>
                <w:rFonts w:ascii="Arial" w:cs="Arial" w:eastAsia="Arial" w:hAnsi="Arial"/>
                <w:sz w:val="18"/>
                <w:szCs w:val="18"/>
                <w:color w:val="auto"/>
              </w:rPr>
              <w:t>der Amtsdauer seines Vorgängers.</w:t>
            </w:r>
          </w:p>
        </w:tc>
      </w:tr>
    </w:tbl>
    <w:p>
      <w:pPr>
        <w:spacing w:after="0" w:line="72" w:lineRule="exact"/>
        <w:rPr>
          <w:sz w:val="20"/>
          <w:szCs w:val="20"/>
          <w:color w:val="auto"/>
        </w:rPr>
      </w:pPr>
    </w:p>
    <w:p>
      <w:pPr>
        <w:ind w:left="1400"/>
        <w:spacing w:after="0"/>
        <w:rPr>
          <w:sz w:val="20"/>
          <w:szCs w:val="20"/>
          <w:color w:val="auto"/>
        </w:rPr>
      </w:pPr>
      <w:r>
        <w:rPr>
          <w:rFonts w:ascii="Arial" w:cs="Arial" w:eastAsia="Arial" w:hAnsi="Arial"/>
          <w:sz w:val="18"/>
          <w:szCs w:val="18"/>
          <w:b w:val="1"/>
          <w:bCs w:val="1"/>
          <w:color w:val="auto"/>
        </w:rPr>
        <w:t>Artikel 24</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ind w:left="243" w:hanging="1309"/>
        <w:spacing w:after="0" w:line="237" w:lineRule="auto"/>
        <w:tabs>
          <w:tab w:leader="none" w:pos="222" w:val="left"/>
        </w:tabs>
        <w:rPr>
          <w:sz w:val="20"/>
          <w:szCs w:val="20"/>
          <w:color w:val="auto"/>
        </w:rPr>
      </w:pPr>
      <w:r>
        <w:rPr>
          <w:rFonts w:ascii="Arial" w:cs="Arial" w:eastAsia="Arial" w:hAnsi="Arial"/>
          <w:sz w:val="28"/>
          <w:szCs w:val="28"/>
          <w:color w:val="auto"/>
          <w:vertAlign w:val="superscript"/>
        </w:rPr>
        <w:t>Term of Office 1</w:t>
      </w:r>
      <w:r>
        <w:rPr>
          <w:rFonts w:ascii="Arial" w:cs="Arial" w:eastAsia="Arial" w:hAnsi="Arial"/>
          <w:sz w:val="18"/>
          <w:szCs w:val="18"/>
          <w:color w:val="auto"/>
        </w:rPr>
        <w:tab/>
        <w:t>The Shareholders shall elect the members of the Board of Directors and the Chair of the Board of Directors individually at a General Meeting of Shareholders for a term of office extending until completion of the next Annual General Meeting. Re-election is possible. If the office of the Chair of the Board of Directors is vacant, for any reason, the Board of Directors shall appoint the Chair from among its members for a term of office extending until completion of the next Annual General Meeting.</w:t>
      </w:r>
    </w:p>
    <w:p>
      <w:pPr>
        <w:spacing w:after="0" w:line="284" w:lineRule="exact"/>
        <w:rPr>
          <w:sz w:val="20"/>
          <w:szCs w:val="20"/>
          <w:color w:val="auto"/>
        </w:rPr>
      </w:pPr>
    </w:p>
    <w:p>
      <w:pPr>
        <w:ind w:left="263" w:right="40" w:hanging="263"/>
        <w:spacing w:after="0" w:line="231" w:lineRule="auto"/>
        <w:tabs>
          <w:tab w:leader="none" w:pos="263" w:val="left"/>
        </w:tabs>
        <w:numPr>
          <w:ilvl w:val="0"/>
          <w:numId w:val="114"/>
        </w:numPr>
        <w:rPr>
          <w:rFonts w:ascii="Arial" w:cs="Arial" w:eastAsia="Arial" w:hAnsi="Arial"/>
          <w:sz w:val="28"/>
          <w:szCs w:val="28"/>
          <w:color w:val="auto"/>
          <w:vertAlign w:val="superscript"/>
        </w:rPr>
      </w:pPr>
      <w:r>
        <w:rPr>
          <w:rFonts w:ascii="Arial" w:cs="Arial" w:eastAsia="Arial" w:hAnsi="Arial"/>
          <w:sz w:val="17"/>
          <w:szCs w:val="17"/>
          <w:color w:val="auto"/>
        </w:rPr>
        <w:t>If, before the expiration of his term of office, a Director should be replaced for whatever reason, the term of office of the newly elected member of the Board of Directors shall expire at the end of the term of office of his predecessor.</w:t>
      </w:r>
    </w:p>
    <w:p>
      <w:pPr>
        <w:spacing w:after="0" w:line="274" w:lineRule="exact"/>
        <w:rPr>
          <w:rFonts w:ascii="Arial" w:cs="Arial" w:eastAsia="Arial" w:hAnsi="Arial"/>
          <w:sz w:val="28"/>
          <w:szCs w:val="28"/>
          <w:color w:val="auto"/>
          <w:vertAlign w:val="superscript"/>
        </w:rPr>
      </w:pPr>
    </w:p>
    <w:p>
      <w:pPr>
        <w:ind w:left="263"/>
        <w:spacing w:after="0"/>
        <w:rPr>
          <w:rFonts w:ascii="Arial" w:cs="Arial" w:eastAsia="Arial" w:hAnsi="Arial"/>
          <w:sz w:val="28"/>
          <w:szCs w:val="28"/>
          <w:color w:val="auto"/>
          <w:vertAlign w:val="superscript"/>
        </w:rPr>
      </w:pPr>
      <w:r>
        <w:rPr>
          <w:rFonts w:ascii="Arial" w:cs="Arial" w:eastAsia="Arial" w:hAnsi="Arial"/>
          <w:sz w:val="18"/>
          <w:szCs w:val="18"/>
          <w:b w:val="1"/>
          <w:bCs w:val="1"/>
          <w:color w:val="auto"/>
        </w:rPr>
        <w:t>Article 24</w:t>
      </w:r>
    </w:p>
    <w:p>
      <w:pPr>
        <w:spacing w:after="0" w:line="200" w:lineRule="exact"/>
        <w:rPr>
          <w:sz w:val="20"/>
          <w:szCs w:val="20"/>
          <w:color w:val="auto"/>
        </w:rPr>
      </w:pPr>
    </w:p>
    <w:p>
      <w:pPr>
        <w:sectPr>
          <w:pgSz w:w="11900" w:h="16838" w:orient="portrait"/>
          <w:cols w:equalWidth="0" w:num="2">
            <w:col w:w="5157" w:space="720"/>
            <w:col w:w="3443"/>
          </w:cols>
          <w:pgMar w:left="1220" w:top="670" w:right="1359" w:bottom="1440" w:gutter="0" w:footer="0" w:header="0"/>
          <w:type w:val="continuous"/>
        </w:sectPr>
      </w:pP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Organisation</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des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Verwaltungs-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rates,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Entschädigung</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ind w:left="248" w:hanging="248"/>
        <w:spacing w:after="0" w:line="228" w:lineRule="auto"/>
        <w:tabs>
          <w:tab w:leader="none" w:pos="248" w:val="left"/>
        </w:tabs>
        <w:numPr>
          <w:ilvl w:val="0"/>
          <w:numId w:val="115"/>
        </w:numPr>
        <w:rPr>
          <w:rFonts w:ascii="Arial" w:cs="Arial" w:eastAsia="Arial" w:hAnsi="Arial"/>
          <w:sz w:val="29"/>
          <w:szCs w:val="29"/>
          <w:color w:val="auto"/>
          <w:vertAlign w:val="superscript"/>
        </w:rPr>
      </w:pPr>
      <w:r>
        <w:rPr>
          <w:rFonts w:ascii="Arial" w:cs="Arial" w:eastAsia="Arial" w:hAnsi="Arial"/>
          <w:sz w:val="18"/>
          <w:szCs w:val="18"/>
          <w:color w:val="auto"/>
        </w:rPr>
        <w:t>Vorbehältlich der Wahl des Verwaltungsratspräsidenten und der Mitglieder des Vergütungsausschusses durch die Aktionäre an einer Generalversammlung bestimmt der Verwaltungsrat seine Organisation selbst. Er kann einen oder mehrere Vize-Präsidenten wählen. Er bestellt weiter einen Sekretär, welcher nicht Mitglied des Verwaltungsrates sein muss. Der Verwaltungsrat regelt unter Vorbehalt der Bestimmungen des Gesetzes und dieser Statuten die Einzelheiten seiner Organisation in einem Organisationsreglement.</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line="263" w:lineRule="auto"/>
        <w:rPr>
          <w:sz w:val="20"/>
          <w:szCs w:val="20"/>
          <w:color w:val="auto"/>
        </w:rPr>
      </w:pPr>
      <w:r>
        <w:rPr>
          <w:rFonts w:ascii="Arial" w:cs="Arial" w:eastAsia="Arial" w:hAnsi="Arial"/>
          <w:sz w:val="14"/>
          <w:szCs w:val="14"/>
          <w:color w:val="auto"/>
        </w:rPr>
        <w:t>Organization 1 of the Board, Remuneration</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Except for the election of the Chair of the Board of Directors and the members of the Compensation Committee by the shareholders at a General Meeting of Shareholders, the Board of Directors shall determine its own organization. It may elect one or more Vice-Chairs. It shall further appoint a Secretary, who need not be a member of the Board of Directors. Subject to applicable law and these Articles of Association, the Board of Directors shall establish the particulars of its organization in organizational regulations.</w:t>
      </w:r>
    </w:p>
    <w:p>
      <w:pPr>
        <w:spacing w:after="0" w:line="4" w:lineRule="exact"/>
        <w:rPr>
          <w:sz w:val="20"/>
          <w:szCs w:val="20"/>
          <w:color w:val="auto"/>
        </w:rPr>
      </w:pPr>
    </w:p>
    <w:p>
      <w:pPr>
        <w:sectPr>
          <w:pgSz w:w="11900" w:h="16838" w:orient="portrait"/>
          <w:cols w:equalWidth="0" w:num="4">
            <w:col w:w="940" w:space="212"/>
            <w:col w:w="3528" w:space="160"/>
            <w:col w:w="1120" w:space="180"/>
            <w:col w:w="3180"/>
          </w:cols>
          <w:pgMar w:left="1220" w:top="670" w:right="1359" w:bottom="1440" w:gutter="0" w:footer="0" w:header="0"/>
          <w:type w:val="continuous"/>
        </w:sectPr>
      </w:pPr>
    </w:p>
    <w:p>
      <w:pPr>
        <w:ind w:left="1400" w:hanging="248"/>
        <w:spacing w:after="0" w:line="226" w:lineRule="auto"/>
        <w:tabs>
          <w:tab w:leader="none" w:pos="1400" w:val="left"/>
        </w:tabs>
        <w:numPr>
          <w:ilvl w:val="0"/>
          <w:numId w:val="116"/>
        </w:numPr>
        <w:rPr>
          <w:rFonts w:ascii="Arial" w:cs="Arial" w:eastAsia="Arial" w:hAnsi="Arial"/>
          <w:sz w:val="29"/>
          <w:szCs w:val="29"/>
          <w:color w:val="auto"/>
          <w:vertAlign w:val="superscript"/>
        </w:rPr>
      </w:pPr>
      <w:r>
        <w:rPr>
          <w:rFonts w:ascii="Arial" w:cs="Arial" w:eastAsia="Arial" w:hAnsi="Arial"/>
          <w:sz w:val="18"/>
          <w:szCs w:val="18"/>
          <w:color w:val="auto"/>
        </w:rPr>
        <w:t>[</w:t>
      </w:r>
      <w:r>
        <w:rPr>
          <w:rFonts w:ascii="Arial" w:cs="Arial" w:eastAsia="Arial" w:hAnsi="Arial"/>
          <w:sz w:val="18"/>
          <w:szCs w:val="18"/>
          <w:i w:val="1"/>
          <w:iCs w:val="1"/>
          <w:color w:val="auto"/>
        </w:rPr>
        <w:t>absichtlich leer gelassen</w:t>
      </w:r>
      <w:r>
        <w:rPr>
          <w:rFonts w:ascii="Arial" w:cs="Arial" w:eastAsia="Arial" w:hAnsi="Arial"/>
          <w:sz w:val="18"/>
          <w:szCs w:val="18"/>
          <w:color w:val="auto"/>
        </w:rPr>
        <w:t>]</w:t>
      </w:r>
    </w:p>
    <w:p>
      <w:pPr>
        <w:spacing w:after="0" w:line="194" w:lineRule="exact"/>
        <w:rPr>
          <w:sz w:val="20"/>
          <w:szCs w:val="20"/>
          <w:color w:val="auto"/>
        </w:rPr>
      </w:pPr>
    </w:p>
    <w:p>
      <w:pPr>
        <w:ind w:left="1400" w:right="537" w:hanging="248"/>
        <w:spacing w:after="0" w:line="216" w:lineRule="auto"/>
        <w:tabs>
          <w:tab w:leader="none" w:pos="1400" w:val="left"/>
        </w:tabs>
        <w:numPr>
          <w:ilvl w:val="0"/>
          <w:numId w:val="117"/>
        </w:numPr>
        <w:rPr>
          <w:rFonts w:ascii="Arial" w:cs="Arial" w:eastAsia="Arial" w:hAnsi="Arial"/>
          <w:sz w:val="29"/>
          <w:szCs w:val="29"/>
          <w:color w:val="auto"/>
          <w:vertAlign w:val="superscript"/>
        </w:rPr>
      </w:pPr>
      <w:r>
        <w:rPr>
          <w:rFonts w:ascii="Arial" w:cs="Arial" w:eastAsia="Arial" w:hAnsi="Arial"/>
          <w:sz w:val="18"/>
          <w:szCs w:val="18"/>
          <w:color w:val="auto"/>
        </w:rPr>
        <w:t>Soweit gesetzlich zulässig, hält die Gesellschaft aktuelle und ehemalige Mitglieder des Verwaltungsrates und der Geschäftsleitung sowie deren Erben, Konkurs- oder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368300</wp:posOffset>
            </wp:positionV>
            <wp:extent cx="629221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263" w:hanging="263"/>
        <w:spacing w:after="0" w:line="226" w:lineRule="auto"/>
        <w:tabs>
          <w:tab w:leader="none" w:pos="263" w:val="left"/>
        </w:tabs>
        <w:numPr>
          <w:ilvl w:val="0"/>
          <w:numId w:val="118"/>
        </w:numPr>
        <w:rPr>
          <w:rFonts w:ascii="Arial" w:cs="Arial" w:eastAsia="Arial" w:hAnsi="Arial"/>
          <w:sz w:val="29"/>
          <w:szCs w:val="29"/>
          <w:color w:val="auto"/>
          <w:vertAlign w:val="superscript"/>
        </w:rPr>
      </w:pPr>
      <w:r>
        <w:rPr>
          <w:rFonts w:ascii="Arial" w:cs="Arial" w:eastAsia="Arial" w:hAnsi="Arial"/>
          <w:sz w:val="18"/>
          <w:szCs w:val="18"/>
          <w:color w:val="auto"/>
        </w:rPr>
        <w:t>[</w:t>
      </w:r>
      <w:r>
        <w:rPr>
          <w:rFonts w:ascii="Arial" w:cs="Arial" w:eastAsia="Arial" w:hAnsi="Arial"/>
          <w:sz w:val="18"/>
          <w:szCs w:val="18"/>
          <w:i w:val="1"/>
          <w:iCs w:val="1"/>
          <w:color w:val="auto"/>
        </w:rPr>
        <w:t>intentionally omitted</w:t>
      </w:r>
      <w:r>
        <w:rPr>
          <w:rFonts w:ascii="Arial" w:cs="Arial" w:eastAsia="Arial" w:hAnsi="Arial"/>
          <w:sz w:val="18"/>
          <w:szCs w:val="18"/>
          <w:color w:val="auto"/>
        </w:rPr>
        <w:t>]</w:t>
      </w:r>
    </w:p>
    <w:p>
      <w:pPr>
        <w:spacing w:after="0" w:line="194" w:lineRule="exact"/>
        <w:rPr>
          <w:sz w:val="20"/>
          <w:szCs w:val="20"/>
          <w:color w:val="auto"/>
        </w:rPr>
      </w:pPr>
    </w:p>
    <w:p>
      <w:pPr>
        <w:ind w:left="263" w:right="40" w:hanging="263"/>
        <w:spacing w:after="0" w:line="216" w:lineRule="auto"/>
        <w:tabs>
          <w:tab w:leader="none" w:pos="263" w:val="left"/>
        </w:tabs>
        <w:numPr>
          <w:ilvl w:val="0"/>
          <w:numId w:val="119"/>
        </w:numPr>
        <w:rPr>
          <w:rFonts w:ascii="Arial" w:cs="Arial" w:eastAsia="Arial" w:hAnsi="Arial"/>
          <w:sz w:val="29"/>
          <w:szCs w:val="29"/>
          <w:color w:val="auto"/>
          <w:vertAlign w:val="superscript"/>
        </w:rPr>
      </w:pPr>
      <w:r>
        <w:rPr>
          <w:rFonts w:ascii="Arial" w:cs="Arial" w:eastAsia="Arial" w:hAnsi="Arial"/>
          <w:sz w:val="18"/>
          <w:szCs w:val="18"/>
          <w:color w:val="auto"/>
        </w:rPr>
        <w:t>The Company shall indemnify and hold harmless, to the fullest extent permitted by law, the existing and former members of the Board of Directors and officers, and their</w:t>
      </w:r>
    </w:p>
    <w:p>
      <w:pPr>
        <w:sectPr>
          <w:pgSz w:w="11900" w:h="16838" w:orient="portrait"/>
          <w:cols w:equalWidth="0" w:num="2">
            <w:col w:w="5157" w:space="720"/>
            <w:col w:w="3443"/>
          </w:cols>
          <w:pgMar w:left="1220" w:top="670" w:right="1359" w:bottom="1440" w:gutter="0" w:footer="0" w:header="0"/>
          <w:type w:val="continuous"/>
        </w:sectPr>
      </w:pPr>
    </w:p>
    <w:bookmarkStart w:id="31" w:name="page32"/>
    <w:bookmarkEnd w:id="31"/>
    <w:p>
      <w:pPr>
        <w:jc w:val="right"/>
        <w:spacing w:after="0"/>
        <w:rPr>
          <w:sz w:val="20"/>
          <w:szCs w:val="20"/>
          <w:color w:val="auto"/>
        </w:rPr>
      </w:pPr>
      <w:r>
        <w:rPr>
          <w:rFonts w:ascii="Arial" w:cs="Arial" w:eastAsia="Arial" w:hAnsi="Arial"/>
          <w:sz w:val="14"/>
          <w:szCs w:val="14"/>
          <w:color w:val="auto"/>
        </w:rPr>
        <w:t>- 24 -</w:t>
      </w:r>
    </w:p>
    <w:p>
      <w:pPr>
        <w:spacing w:after="0" w:line="200" w:lineRule="exact"/>
        <w:rPr>
          <w:sz w:val="20"/>
          <w:szCs w:val="20"/>
          <w:color w:val="auto"/>
        </w:rPr>
      </w:pPr>
    </w:p>
    <w:p>
      <w:pPr>
        <w:spacing w:after="0" w:line="399" w:lineRule="exact"/>
        <w:rPr>
          <w:sz w:val="20"/>
          <w:szCs w:val="20"/>
          <w:color w:val="auto"/>
        </w:rPr>
      </w:pPr>
    </w:p>
    <w:p>
      <w:pPr>
        <w:ind w:left="980" w:right="360"/>
        <w:spacing w:after="0" w:line="250" w:lineRule="auto"/>
        <w:rPr>
          <w:sz w:val="20"/>
          <w:szCs w:val="20"/>
          <w:color w:val="auto"/>
        </w:rPr>
      </w:pPr>
      <w:r>
        <w:rPr>
          <w:rFonts w:ascii="Arial" w:cs="Arial" w:eastAsia="Arial" w:hAnsi="Arial"/>
          <w:sz w:val="17"/>
          <w:szCs w:val="17"/>
          <w:color w:val="auto"/>
        </w:rPr>
        <w:t>Nachlassmassen aus Gesellschaftsmitteln für Schäden, Verluste und Kosten aus drohenden, hängigen oder abgeschlossenen Klagen, Verfahren oder Untersuchungen zivil-, straf- oder verwaltungsrechtlicher oder anderer Natur schadlos, welche ihnen oder ihren Erben, Konkurs- oder Nachlassmassen entstehen aufgrund von tatsächlichen oder behaupteten Handlungen, Zustimmungen oder Unterlassungen im Zusammenhang mit der Ausübung ihrer Pflichten oder behaupteten Pflichten oder aufgrund der Tatsache, dass sie Mitglied des Verwaltungsrates oder der Geschäftsleitung der Gesellschaft sind oder waren oder auf Aufforderung der Gesellschaft als Mitglied des Verwaltungsrates, der Geschäftsleitung oder als Arbeitnehmer oder Agent eines anderen Unternehmens, einer anderen Gesellschaft, einer nicht-rechtsfähigen Personengesellschaft oder eines Trusts sind oder waren. Diese Pflicht zur Schadloshaltung besteht nicht, soweit in einem endgültigen, nicht weiterziehbaren Entscheid eines zuständigen Gerichts bzw. einer zuständigen Verwaltungsbehörde entschieden worden ist, dass eine der genannten Personen ihre Pflichten als Mitglied des Verwaltungsrates oder der Geschäftsleitung absichtlich oder grobfahrlässig verletzt 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980" w:right="360" w:hanging="277"/>
        <w:spacing w:after="0"/>
        <w:tabs>
          <w:tab w:leader="none" w:pos="980" w:val="left"/>
        </w:tabs>
        <w:numPr>
          <w:ilvl w:val="0"/>
          <w:numId w:val="120"/>
        </w:numPr>
        <w:rPr>
          <w:rFonts w:ascii="Arial" w:cs="Arial" w:eastAsia="Arial" w:hAnsi="Arial"/>
          <w:sz w:val="28"/>
          <w:szCs w:val="28"/>
          <w:color w:val="auto"/>
          <w:vertAlign w:val="superscript"/>
        </w:rPr>
      </w:pPr>
      <w:r>
        <w:rPr>
          <w:rFonts w:ascii="Arial" w:cs="Arial" w:eastAsia="Arial" w:hAnsi="Arial"/>
          <w:sz w:val="17"/>
          <w:szCs w:val="17"/>
          <w:color w:val="auto"/>
        </w:rPr>
        <w:t>Ohne den vorangehenden Absatz 3 dieses Artikels 24 einzuschränken, bevorschusst die Gesellschaft Mitgliedern des Verwaltungsrates und der Geschäftsleitung Gerichts- und Anwaltskosten. Die Gesellschaft kann solche Vorschüsse zurückfordern, wenn ein zuständiges Gericht oder eine zuständige Verwaltungsbehörde in einem endgültigen, nicht weiterziehbaren Urteil bzw. Entscheid zum Schluss kommt, dass eine der genannten Personen ihre Pflichten als Mitglied des Verwaltungsrates oder der Geschäftsleitung absichtlich oder grobfahrlässig verletzt 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-225425</wp:posOffset>
            </wp:positionH>
            <wp:positionV relativeFrom="paragraph">
              <wp:posOffset>705485</wp:posOffset>
            </wp:positionV>
            <wp:extent cx="629221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273"/>
        <w:spacing w:after="0" w:line="236" w:lineRule="auto"/>
        <w:rPr>
          <w:sz w:val="20"/>
          <w:szCs w:val="20"/>
          <w:color w:val="auto"/>
        </w:rPr>
      </w:pPr>
      <w:r>
        <w:rPr>
          <w:rFonts w:ascii="Arial" w:cs="Arial" w:eastAsia="Arial" w:hAnsi="Arial"/>
          <w:sz w:val="18"/>
          <w:szCs w:val="18"/>
          <w:color w:val="auto"/>
        </w:rPr>
        <w:t xml:space="preserve">heirs, executors and administrators, out of the assets of the Company from and against all threatened, pending or completed actions, suits or proceedings – whether civil, criminal, administrative or investigative – and all costs, charges, losses, damages and expenses which they or any of them, their heirs, executors or administrators, shall or may incur or sustain by or by reason of any act done or alleged to be done, concurred or alleged to be concurred in or omitted or alleged to be omitted in or about the execution of their duty, or alleged duty, or by reason of the fact that he is or was a member of the Board of Directors or officer of the Company, or while serving as a member of the Board of Directors or officer of the Company is or was serving at the request of the Company as a director, officer, employee or agent of another corporation, partnership, joint venture, trust or other enterprise;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this indemnity shall not extend to any matter in which any of said persons is found, in a final judgment or decree of a court or governmental or administrative authority of competent jurisdiction not subject to appeal, to have committed an intentional or grossly negligent breach of his statutory duties as a member of the Board of Directors or officer.</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73" w:right="80" w:hanging="273"/>
        <w:spacing w:after="0" w:line="227" w:lineRule="auto"/>
        <w:tabs>
          <w:tab w:leader="none" w:pos="273" w:val="left"/>
        </w:tabs>
        <w:numPr>
          <w:ilvl w:val="0"/>
          <w:numId w:val="121"/>
        </w:numPr>
        <w:rPr>
          <w:rFonts w:ascii="Arial" w:cs="Arial" w:eastAsia="Arial" w:hAnsi="Arial"/>
          <w:sz w:val="29"/>
          <w:szCs w:val="29"/>
          <w:color w:val="auto"/>
          <w:vertAlign w:val="superscript"/>
        </w:rPr>
      </w:pPr>
      <w:r>
        <w:rPr>
          <w:rFonts w:ascii="Arial" w:cs="Arial" w:eastAsia="Arial" w:hAnsi="Arial"/>
          <w:sz w:val="18"/>
          <w:szCs w:val="18"/>
          <w:color w:val="auto"/>
        </w:rPr>
        <w:t>Without limiting the foregoing paragraph 3 of this Article 24, the Company shall advance court costs and attorneys' fees to the existing and former members of the Board of Directors and officers. The Company may however recover such advanced costs if any of said persons is found, in a final judgment or decree of a court or governmental or administrative authority of competent jurisdiction not subject to appeal, to have committed an intentional or grossly negligent breach of his statutory duties as a member of the Board of Directors or officer.</w:t>
      </w:r>
    </w:p>
    <w:p>
      <w:pPr>
        <w:sectPr>
          <w:pgSz w:w="11900" w:h="16838" w:orient="portrait"/>
          <w:cols w:equalWidth="0" w:num="2">
            <w:col w:w="4760" w:space="627"/>
            <w:col w:w="3713"/>
          </w:cols>
          <w:pgMar w:left="1440" w:top="670" w:right="135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90"/>
        </w:trPr>
        <w:tc>
          <w:tcPr>
            <w:tcW w:w="1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800" w:type="dxa"/>
            <w:vAlign w:val="bottom"/>
          </w:tcPr>
          <w:p>
            <w:pPr>
              <w:jc w:val="right"/>
              <w:ind w:right="389"/>
              <w:spacing w:after="0"/>
              <w:rPr>
                <w:sz w:val="20"/>
                <w:szCs w:val="20"/>
                <w:color w:val="auto"/>
              </w:rPr>
            </w:pPr>
            <w:r>
              <w:rPr>
                <w:rFonts w:ascii="Arial" w:cs="Arial" w:eastAsia="Arial" w:hAnsi="Arial"/>
                <w:sz w:val="14"/>
                <w:szCs w:val="14"/>
                <w:color w:val="auto"/>
                <w:w w:val="97"/>
              </w:rPr>
              <w:t>- 25 -</w:t>
            </w:r>
          </w:p>
        </w:tc>
        <w:tc>
          <w:tcPr>
            <w:tcW w:w="0" w:type="dxa"/>
            <w:vAlign w:val="bottom"/>
          </w:tcPr>
          <w:p>
            <w:pPr>
              <w:spacing w:after="0"/>
              <w:rPr>
                <w:sz w:val="1"/>
                <w:szCs w:val="1"/>
                <w:color w:val="auto"/>
              </w:rPr>
            </w:pPr>
          </w:p>
        </w:tc>
      </w:tr>
      <w:tr>
        <w:trPr>
          <w:trHeight w:val="871"/>
        </w:trPr>
        <w:tc>
          <w:tcPr>
            <w:tcW w:w="1140" w:type="dxa"/>
            <w:vAlign w:val="bottom"/>
          </w:tcPr>
          <w:p>
            <w:pPr>
              <w:spacing w:after="0"/>
              <w:rPr>
                <w:sz w:val="24"/>
                <w:szCs w:val="24"/>
                <w:color w:val="auto"/>
              </w:rPr>
            </w:pPr>
          </w:p>
        </w:tc>
        <w:tc>
          <w:tcPr>
            <w:tcW w:w="3500" w:type="dxa"/>
            <w:vAlign w:val="bottom"/>
            <w:gridSpan w:val="2"/>
          </w:tcPr>
          <w:p>
            <w:pPr>
              <w:ind w:left="100"/>
              <w:spacing w:after="0"/>
              <w:rPr>
                <w:sz w:val="20"/>
                <w:szCs w:val="20"/>
                <w:color w:val="auto"/>
              </w:rPr>
            </w:pPr>
            <w:r>
              <w:rPr>
                <w:rFonts w:ascii="Arial" w:cs="Arial" w:eastAsia="Arial" w:hAnsi="Arial"/>
                <w:sz w:val="18"/>
                <w:szCs w:val="18"/>
                <w:b w:val="1"/>
                <w:bCs w:val="1"/>
                <w:color w:val="auto"/>
              </w:rPr>
              <w:t>Artikel 25</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1140" w:type="dxa"/>
            <w:vAlign w:val="bottom"/>
          </w:tcPr>
          <w:p>
            <w:pPr>
              <w:spacing w:after="0"/>
              <w:rPr>
                <w:sz w:val="20"/>
                <w:szCs w:val="20"/>
                <w:color w:val="auto"/>
              </w:rPr>
            </w:pPr>
            <w:r>
              <w:rPr>
                <w:rFonts w:ascii="Arial" w:cs="Arial" w:eastAsia="Arial" w:hAnsi="Arial"/>
                <w:sz w:val="14"/>
                <w:szCs w:val="14"/>
                <w:color w:val="auto"/>
              </w:rPr>
              <w:t>Befugnisse    1</w:t>
            </w:r>
          </w:p>
        </w:tc>
        <w:tc>
          <w:tcPr>
            <w:tcW w:w="3500" w:type="dxa"/>
            <w:vAlign w:val="bottom"/>
            <w:gridSpan w:val="2"/>
          </w:tcPr>
          <w:p>
            <w:pPr>
              <w:ind w:left="100"/>
              <w:spacing w:after="0"/>
              <w:rPr>
                <w:sz w:val="20"/>
                <w:szCs w:val="20"/>
                <w:color w:val="auto"/>
              </w:rPr>
            </w:pPr>
            <w:r>
              <w:rPr>
                <w:rFonts w:ascii="Arial" w:cs="Arial" w:eastAsia="Arial" w:hAnsi="Arial"/>
                <w:sz w:val="18"/>
                <w:szCs w:val="18"/>
                <w:color w:val="auto"/>
              </w:rPr>
              <w:t>Der Verwaltungsrat hat die in Artikel 716a</w:t>
            </w:r>
          </w:p>
        </w:tc>
        <w:tc>
          <w:tcPr>
            <w:tcW w:w="800" w:type="dxa"/>
            <w:vAlign w:val="bottom"/>
          </w:tcPr>
          <w:p>
            <w:pPr>
              <w:ind w:left="160"/>
              <w:spacing w:after="0"/>
              <w:rPr>
                <w:sz w:val="20"/>
                <w:szCs w:val="20"/>
                <w:color w:val="auto"/>
              </w:rPr>
            </w:pPr>
            <w:r>
              <w:rPr>
                <w:rFonts w:ascii="Arial" w:cs="Arial" w:eastAsia="Arial" w:hAnsi="Arial"/>
                <w:sz w:val="14"/>
                <w:szCs w:val="14"/>
                <w:color w:val="auto"/>
              </w:rPr>
              <w:t>Specific</w:t>
            </w:r>
          </w:p>
        </w:tc>
        <w:tc>
          <w:tcPr>
            <w:tcW w:w="0" w:type="dxa"/>
            <w:vAlign w:val="bottom"/>
          </w:tcPr>
          <w:p>
            <w:pPr>
              <w:spacing w:after="0"/>
              <w:rPr>
                <w:sz w:val="1"/>
                <w:szCs w:val="1"/>
                <w:color w:val="auto"/>
              </w:rPr>
            </w:pPr>
          </w:p>
        </w:tc>
      </w:tr>
      <w:tr>
        <w:trPr>
          <w:trHeight w:val="203"/>
        </w:trPr>
        <w:tc>
          <w:tcPr>
            <w:tcW w:w="1140" w:type="dxa"/>
            <w:vAlign w:val="bottom"/>
          </w:tcPr>
          <w:p>
            <w:pPr>
              <w:spacing w:after="0"/>
              <w:rPr>
                <w:sz w:val="20"/>
                <w:szCs w:val="20"/>
                <w:color w:val="auto"/>
              </w:rPr>
            </w:pPr>
            <w:r>
              <w:rPr>
                <w:rFonts w:ascii="Arial" w:cs="Arial" w:eastAsia="Arial" w:hAnsi="Arial"/>
                <w:sz w:val="14"/>
                <w:szCs w:val="14"/>
                <w:color w:val="auto"/>
              </w:rPr>
              <w:t>des</w:t>
            </w:r>
          </w:p>
        </w:tc>
        <w:tc>
          <w:tcPr>
            <w:tcW w:w="350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OR statuierten unübertragbaren und</w:t>
            </w:r>
          </w:p>
        </w:tc>
        <w:tc>
          <w:tcPr>
            <w:tcW w:w="800" w:type="dxa"/>
            <w:vAlign w:val="bottom"/>
          </w:tcPr>
          <w:p>
            <w:pPr>
              <w:ind w:left="160"/>
              <w:spacing w:after="0"/>
              <w:rPr>
                <w:sz w:val="20"/>
                <w:szCs w:val="20"/>
                <w:color w:val="auto"/>
              </w:rPr>
            </w:pPr>
            <w:r>
              <w:rPr>
                <w:rFonts w:ascii="Arial" w:cs="Arial" w:eastAsia="Arial" w:hAnsi="Arial"/>
                <w:sz w:val="14"/>
                <w:szCs w:val="14"/>
                <w:color w:val="auto"/>
                <w:w w:val="99"/>
              </w:rPr>
              <w:t>Powers of</w:t>
            </w:r>
          </w:p>
        </w:tc>
        <w:tc>
          <w:tcPr>
            <w:tcW w:w="0" w:type="dxa"/>
            <w:vAlign w:val="bottom"/>
          </w:tcPr>
          <w:p>
            <w:pPr>
              <w:spacing w:after="0"/>
              <w:rPr>
                <w:sz w:val="1"/>
                <w:szCs w:val="1"/>
                <w:color w:val="auto"/>
              </w:rPr>
            </w:pPr>
          </w:p>
        </w:tc>
      </w:tr>
      <w:tr>
        <w:trPr>
          <w:trHeight w:val="112"/>
        </w:trPr>
        <w:tc>
          <w:tcPr>
            <w:tcW w:w="1140" w:type="dxa"/>
            <w:vAlign w:val="bottom"/>
          </w:tcPr>
          <w:p>
            <w:pPr>
              <w:spacing w:after="0" w:line="113" w:lineRule="exact"/>
              <w:rPr>
                <w:sz w:val="20"/>
                <w:szCs w:val="20"/>
                <w:color w:val="auto"/>
              </w:rPr>
            </w:pPr>
            <w:r>
              <w:rPr>
                <w:rFonts w:ascii="Arial" w:cs="Arial" w:eastAsia="Arial" w:hAnsi="Arial"/>
                <w:sz w:val="13"/>
                <w:szCs w:val="13"/>
                <w:color w:val="auto"/>
              </w:rPr>
              <w:t>Verwaltungs-</w:t>
            </w:r>
          </w:p>
        </w:tc>
        <w:tc>
          <w:tcPr>
            <w:tcW w:w="3500" w:type="dxa"/>
            <w:vAlign w:val="bottom"/>
            <w:gridSpan w:val="2"/>
            <w:vMerge w:val="restart"/>
          </w:tcPr>
          <w:p>
            <w:pPr>
              <w:ind w:left="100"/>
              <w:spacing w:after="0"/>
              <w:rPr>
                <w:sz w:val="20"/>
                <w:szCs w:val="20"/>
                <w:color w:val="auto"/>
              </w:rPr>
            </w:pPr>
            <w:r>
              <w:rPr>
                <w:rFonts w:ascii="Arial" w:cs="Arial" w:eastAsia="Arial" w:hAnsi="Arial"/>
                <w:sz w:val="18"/>
                <w:szCs w:val="18"/>
                <w:color w:val="auto"/>
              </w:rPr>
              <w:t>unentziehbaren Aufgaben, insbesondere:</w:t>
            </w:r>
          </w:p>
        </w:tc>
        <w:tc>
          <w:tcPr>
            <w:tcW w:w="800" w:type="dxa"/>
            <w:vAlign w:val="bottom"/>
          </w:tcPr>
          <w:p>
            <w:pPr>
              <w:ind w:left="160"/>
              <w:spacing w:after="0" w:line="113" w:lineRule="exact"/>
              <w:rPr>
                <w:sz w:val="20"/>
                <w:szCs w:val="20"/>
                <w:color w:val="auto"/>
              </w:rPr>
            </w:pPr>
            <w:r>
              <w:rPr>
                <w:rFonts w:ascii="Arial" w:cs="Arial" w:eastAsia="Arial" w:hAnsi="Arial"/>
                <w:sz w:val="13"/>
                <w:szCs w:val="13"/>
                <w:color w:val="auto"/>
              </w:rPr>
              <w:t>the Board</w:t>
            </w:r>
          </w:p>
        </w:tc>
        <w:tc>
          <w:tcPr>
            <w:tcW w:w="0" w:type="dxa"/>
            <w:vAlign w:val="bottom"/>
          </w:tcPr>
          <w:p>
            <w:pPr>
              <w:spacing w:after="0"/>
              <w:rPr>
                <w:sz w:val="1"/>
                <w:szCs w:val="1"/>
                <w:color w:val="auto"/>
              </w:rPr>
            </w:pPr>
          </w:p>
        </w:tc>
      </w:tr>
      <w:tr>
        <w:trPr>
          <w:trHeight w:val="190"/>
        </w:trPr>
        <w:tc>
          <w:tcPr>
            <w:tcW w:w="1140" w:type="dxa"/>
            <w:vAlign w:val="bottom"/>
          </w:tcPr>
          <w:p>
            <w:pPr>
              <w:spacing w:after="0"/>
              <w:rPr>
                <w:sz w:val="20"/>
                <w:szCs w:val="20"/>
                <w:color w:val="auto"/>
              </w:rPr>
            </w:pPr>
            <w:r>
              <w:rPr>
                <w:rFonts w:ascii="Arial" w:cs="Arial" w:eastAsia="Arial" w:hAnsi="Arial"/>
                <w:sz w:val="14"/>
                <w:szCs w:val="14"/>
                <w:color w:val="auto"/>
              </w:rPr>
              <w:t>rates</w:t>
            </w:r>
          </w:p>
        </w:tc>
        <w:tc>
          <w:tcPr>
            <w:tcW w:w="3500" w:type="dxa"/>
            <w:vAlign w:val="bottom"/>
            <w:gridSpan w:val="2"/>
            <w:vMerge w:val="continue"/>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1140" w:type="dxa"/>
            <w:vAlign w:val="bottom"/>
          </w:tcPr>
          <w:p>
            <w:pPr>
              <w:spacing w:after="0"/>
              <w:rPr>
                <w:sz w:val="20"/>
                <w:szCs w:val="20"/>
                <w:color w:val="auto"/>
              </w:rPr>
            </w:pPr>
          </w:p>
        </w:tc>
        <w:tc>
          <w:tcPr>
            <w:tcW w:w="420" w:type="dxa"/>
            <w:vAlign w:val="bottom"/>
          </w:tcPr>
          <w:p>
            <w:pPr>
              <w:ind w:left="100"/>
              <w:spacing w:after="0"/>
              <w:rPr>
                <w:sz w:val="20"/>
                <w:szCs w:val="20"/>
                <w:color w:val="auto"/>
              </w:rPr>
            </w:pPr>
            <w:r>
              <w:rPr>
                <w:rFonts w:ascii="Arial" w:cs="Arial" w:eastAsia="Arial" w:hAnsi="Arial"/>
                <w:sz w:val="18"/>
                <w:szCs w:val="18"/>
                <w:color w:val="auto"/>
              </w:rPr>
              <w:t>(a)</w:t>
            </w:r>
          </w:p>
        </w:tc>
        <w:tc>
          <w:tcPr>
            <w:tcW w:w="3080" w:type="dxa"/>
            <w:vAlign w:val="bottom"/>
          </w:tcPr>
          <w:p>
            <w:pPr>
              <w:ind w:left="120"/>
              <w:spacing w:after="0"/>
              <w:rPr>
                <w:sz w:val="20"/>
                <w:szCs w:val="20"/>
                <w:color w:val="auto"/>
              </w:rPr>
            </w:pPr>
            <w:r>
              <w:rPr>
                <w:rFonts w:ascii="Arial" w:cs="Arial" w:eastAsia="Arial" w:hAnsi="Arial"/>
                <w:sz w:val="18"/>
                <w:szCs w:val="18"/>
                <w:color w:val="auto"/>
              </w:rPr>
              <w:t>die Oberleitung der Gesellschaft und</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1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80" w:type="dxa"/>
            <w:vAlign w:val="bottom"/>
          </w:tcPr>
          <w:p>
            <w:pPr>
              <w:ind w:left="120"/>
              <w:spacing w:after="0"/>
              <w:rPr>
                <w:sz w:val="20"/>
                <w:szCs w:val="20"/>
                <w:color w:val="auto"/>
              </w:rPr>
            </w:pPr>
            <w:r>
              <w:rPr>
                <w:rFonts w:ascii="Arial" w:cs="Arial" w:eastAsia="Arial" w:hAnsi="Arial"/>
                <w:sz w:val="18"/>
                <w:szCs w:val="18"/>
                <w:color w:val="auto"/>
                <w:w w:val="99"/>
              </w:rPr>
              <w:t>die Erteilung der nötigen Weisungen;</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1140" w:type="dxa"/>
            <w:vAlign w:val="bottom"/>
          </w:tcPr>
          <w:p>
            <w:pPr>
              <w:spacing w:after="0"/>
              <w:rPr>
                <w:sz w:val="24"/>
                <w:szCs w:val="24"/>
                <w:color w:val="auto"/>
              </w:rPr>
            </w:pPr>
          </w:p>
        </w:tc>
        <w:tc>
          <w:tcPr>
            <w:tcW w:w="420" w:type="dxa"/>
            <w:vAlign w:val="bottom"/>
          </w:tcPr>
          <w:p>
            <w:pPr>
              <w:ind w:left="100"/>
              <w:spacing w:after="0"/>
              <w:rPr>
                <w:sz w:val="20"/>
                <w:szCs w:val="20"/>
                <w:color w:val="auto"/>
              </w:rPr>
            </w:pPr>
            <w:r>
              <w:rPr>
                <w:rFonts w:ascii="Arial" w:cs="Arial" w:eastAsia="Arial" w:hAnsi="Arial"/>
                <w:sz w:val="18"/>
                <w:szCs w:val="18"/>
                <w:color w:val="auto"/>
              </w:rPr>
              <w:t>(b)</w:t>
            </w:r>
          </w:p>
        </w:tc>
        <w:tc>
          <w:tcPr>
            <w:tcW w:w="3080" w:type="dxa"/>
            <w:vAlign w:val="bottom"/>
          </w:tcPr>
          <w:p>
            <w:pPr>
              <w:ind w:left="120"/>
              <w:spacing w:after="0"/>
              <w:rPr>
                <w:sz w:val="20"/>
                <w:szCs w:val="20"/>
                <w:color w:val="auto"/>
              </w:rPr>
            </w:pPr>
            <w:r>
              <w:rPr>
                <w:rFonts w:ascii="Arial" w:cs="Arial" w:eastAsia="Arial" w:hAnsi="Arial"/>
                <w:sz w:val="18"/>
                <w:szCs w:val="18"/>
                <w:color w:val="auto"/>
                <w:w w:val="99"/>
              </w:rPr>
              <w:t>die Festlegung der Organisation; und</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1140" w:type="dxa"/>
            <w:vAlign w:val="bottom"/>
          </w:tcPr>
          <w:p>
            <w:pPr>
              <w:spacing w:after="0"/>
              <w:rPr>
                <w:sz w:val="24"/>
                <w:szCs w:val="24"/>
                <w:color w:val="auto"/>
              </w:rPr>
            </w:pPr>
          </w:p>
        </w:tc>
        <w:tc>
          <w:tcPr>
            <w:tcW w:w="420" w:type="dxa"/>
            <w:vAlign w:val="bottom"/>
          </w:tcPr>
          <w:p>
            <w:pPr>
              <w:ind w:left="100"/>
              <w:spacing w:after="0"/>
              <w:rPr>
                <w:sz w:val="20"/>
                <w:szCs w:val="20"/>
                <w:color w:val="auto"/>
              </w:rPr>
            </w:pPr>
            <w:r>
              <w:rPr>
                <w:rFonts w:ascii="Arial" w:cs="Arial" w:eastAsia="Arial" w:hAnsi="Arial"/>
                <w:sz w:val="18"/>
                <w:szCs w:val="18"/>
                <w:color w:val="auto"/>
              </w:rPr>
              <w:t>(c)</w:t>
            </w:r>
          </w:p>
        </w:tc>
        <w:tc>
          <w:tcPr>
            <w:tcW w:w="3080" w:type="dxa"/>
            <w:vAlign w:val="bottom"/>
          </w:tcPr>
          <w:p>
            <w:pPr>
              <w:ind w:left="120"/>
              <w:spacing w:after="0"/>
              <w:rPr>
                <w:sz w:val="20"/>
                <w:szCs w:val="20"/>
                <w:color w:val="auto"/>
              </w:rPr>
            </w:pPr>
            <w:r>
              <w:rPr>
                <w:rFonts w:ascii="Arial" w:cs="Arial" w:eastAsia="Arial" w:hAnsi="Arial"/>
                <w:sz w:val="18"/>
                <w:szCs w:val="18"/>
                <w:color w:val="auto"/>
              </w:rPr>
              <w:t>die Oberaufsicht über die mit der</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80" w:type="dxa"/>
            <w:vAlign w:val="bottom"/>
          </w:tcPr>
          <w:p>
            <w:pPr>
              <w:ind w:left="120"/>
              <w:spacing w:after="0" w:line="202" w:lineRule="exact"/>
              <w:rPr>
                <w:sz w:val="20"/>
                <w:szCs w:val="20"/>
                <w:color w:val="auto"/>
              </w:rPr>
            </w:pPr>
            <w:r>
              <w:rPr>
                <w:rFonts w:ascii="Arial" w:cs="Arial" w:eastAsia="Arial" w:hAnsi="Arial"/>
                <w:sz w:val="18"/>
                <w:szCs w:val="18"/>
                <w:color w:val="auto"/>
              </w:rPr>
              <w:t>Geschäftsführung betrauten</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80" w:type="dxa"/>
            <w:vAlign w:val="bottom"/>
          </w:tcPr>
          <w:p>
            <w:pPr>
              <w:ind w:left="120"/>
              <w:spacing w:after="0" w:line="202" w:lineRule="exact"/>
              <w:rPr>
                <w:sz w:val="20"/>
                <w:szCs w:val="20"/>
                <w:color w:val="auto"/>
              </w:rPr>
            </w:pPr>
            <w:r>
              <w:rPr>
                <w:rFonts w:ascii="Arial" w:cs="Arial" w:eastAsia="Arial" w:hAnsi="Arial"/>
                <w:sz w:val="18"/>
                <w:szCs w:val="18"/>
                <w:color w:val="auto"/>
                <w:w w:val="99"/>
              </w:rPr>
              <w:t>Personen, namentlich im Hinblick auf</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80" w:type="dxa"/>
            <w:vAlign w:val="bottom"/>
          </w:tcPr>
          <w:p>
            <w:pPr>
              <w:ind w:left="120"/>
              <w:spacing w:after="0" w:line="202" w:lineRule="exact"/>
              <w:rPr>
                <w:sz w:val="20"/>
                <w:szCs w:val="20"/>
                <w:color w:val="auto"/>
              </w:rPr>
            </w:pPr>
            <w:r>
              <w:rPr>
                <w:rFonts w:ascii="Arial" w:cs="Arial" w:eastAsia="Arial" w:hAnsi="Arial"/>
                <w:sz w:val="18"/>
                <w:szCs w:val="18"/>
                <w:color w:val="auto"/>
                <w:w w:val="99"/>
              </w:rPr>
              <w:t>die Befolgung der Gesetze, Statuten,</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80" w:type="dxa"/>
            <w:vAlign w:val="bottom"/>
          </w:tcPr>
          <w:p>
            <w:pPr>
              <w:ind w:left="120"/>
              <w:spacing w:after="0"/>
              <w:rPr>
                <w:sz w:val="20"/>
                <w:szCs w:val="20"/>
                <w:color w:val="auto"/>
              </w:rPr>
            </w:pPr>
            <w:r>
              <w:rPr>
                <w:rFonts w:ascii="Arial" w:cs="Arial" w:eastAsia="Arial" w:hAnsi="Arial"/>
                <w:sz w:val="18"/>
                <w:szCs w:val="18"/>
                <w:color w:val="auto"/>
              </w:rPr>
              <w:t>Reglemente und Weisungen.</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4"/>
        </w:trPr>
        <w:tc>
          <w:tcPr>
            <w:tcW w:w="1140" w:type="dxa"/>
            <w:vAlign w:val="bottom"/>
          </w:tcPr>
          <w:p>
            <w:pPr>
              <w:ind w:left="960"/>
              <w:spacing w:after="0"/>
              <w:rPr>
                <w:sz w:val="20"/>
                <w:szCs w:val="20"/>
                <w:color w:val="auto"/>
              </w:rPr>
            </w:pPr>
            <w:r>
              <w:rPr>
                <w:rFonts w:ascii="Arial" w:cs="Arial" w:eastAsia="Arial" w:hAnsi="Arial"/>
                <w:sz w:val="14"/>
                <w:szCs w:val="14"/>
                <w:color w:val="auto"/>
              </w:rPr>
              <w:t>2</w:t>
            </w:r>
          </w:p>
        </w:tc>
        <w:tc>
          <w:tcPr>
            <w:tcW w:w="3500" w:type="dxa"/>
            <w:vAlign w:val="bottom"/>
            <w:gridSpan w:val="2"/>
          </w:tcPr>
          <w:p>
            <w:pPr>
              <w:ind w:left="100"/>
              <w:spacing w:after="0"/>
              <w:rPr>
                <w:sz w:val="20"/>
                <w:szCs w:val="20"/>
                <w:color w:val="auto"/>
              </w:rPr>
            </w:pPr>
            <w:r>
              <w:rPr>
                <w:rFonts w:ascii="Arial" w:cs="Arial" w:eastAsia="Arial" w:hAnsi="Arial"/>
                <w:sz w:val="18"/>
                <w:szCs w:val="18"/>
                <w:color w:val="auto"/>
              </w:rPr>
              <w:t>Der Verwaltungsrat kann überdies in allen</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350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Angelegenheiten Beschluss fassen, die</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350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nicht nach Gesetz oder Statuten der</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140" w:type="dxa"/>
            <w:vAlign w:val="bottom"/>
          </w:tcPr>
          <w:p>
            <w:pPr>
              <w:spacing w:after="0"/>
              <w:rPr>
                <w:sz w:val="20"/>
                <w:szCs w:val="20"/>
                <w:color w:val="auto"/>
              </w:rPr>
            </w:pPr>
          </w:p>
        </w:tc>
        <w:tc>
          <w:tcPr>
            <w:tcW w:w="3500" w:type="dxa"/>
            <w:vAlign w:val="bottom"/>
            <w:gridSpan w:val="2"/>
          </w:tcPr>
          <w:p>
            <w:pPr>
              <w:ind w:left="100"/>
              <w:spacing w:after="0"/>
              <w:rPr>
                <w:sz w:val="20"/>
                <w:szCs w:val="20"/>
                <w:color w:val="auto"/>
              </w:rPr>
            </w:pPr>
            <w:r>
              <w:rPr>
                <w:rFonts w:ascii="Arial" w:cs="Arial" w:eastAsia="Arial" w:hAnsi="Arial"/>
                <w:sz w:val="18"/>
                <w:szCs w:val="18"/>
                <w:color w:val="auto"/>
              </w:rPr>
              <w:t>Generalversammlung zugeteilt sind.</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66"/>
        <w:spacing w:after="0"/>
        <w:rPr>
          <w:sz w:val="20"/>
          <w:szCs w:val="20"/>
          <w:color w:val="auto"/>
        </w:rPr>
      </w:pPr>
      <w:r>
        <w:rPr>
          <w:rFonts w:ascii="Arial" w:cs="Arial" w:eastAsia="Arial" w:hAnsi="Arial"/>
          <w:sz w:val="18"/>
          <w:szCs w:val="18"/>
          <w:b w:val="1"/>
          <w:bCs w:val="1"/>
          <w:color w:val="auto"/>
        </w:rPr>
        <w:t>Article 25</w:t>
      </w:r>
    </w:p>
    <w:p>
      <w:pPr>
        <w:spacing w:after="0" w:line="225" w:lineRule="exact"/>
        <w:rPr>
          <w:sz w:val="20"/>
          <w:szCs w:val="20"/>
          <w:color w:val="auto"/>
        </w:rPr>
      </w:pPr>
    </w:p>
    <w:p>
      <w:pPr>
        <w:ind w:left="266" w:right="120" w:hanging="266"/>
        <w:spacing w:after="0" w:line="216" w:lineRule="auto"/>
        <w:tabs>
          <w:tab w:leader="none" w:pos="266" w:val="left"/>
        </w:tabs>
        <w:numPr>
          <w:ilvl w:val="0"/>
          <w:numId w:val="122"/>
        </w:numPr>
        <w:rPr>
          <w:rFonts w:ascii="Arial" w:cs="Arial" w:eastAsia="Arial" w:hAnsi="Arial"/>
          <w:sz w:val="28"/>
          <w:szCs w:val="28"/>
          <w:color w:val="auto"/>
          <w:vertAlign w:val="superscript"/>
        </w:rPr>
      </w:pPr>
      <w:r>
        <w:rPr>
          <w:rFonts w:ascii="Arial" w:cs="Arial" w:eastAsia="Arial" w:hAnsi="Arial"/>
          <w:sz w:val="17"/>
          <w:szCs w:val="17"/>
          <w:color w:val="auto"/>
        </w:rPr>
        <w:t>The Board of Directors has the non-delegable and inalienable duties as specified in Article 716a CO, in particular:</w:t>
      </w:r>
    </w:p>
    <w:p>
      <w:pPr>
        <w:spacing w:after="0" w:line="19" w:lineRule="exact"/>
        <w:rPr>
          <w:rFonts w:ascii="Arial" w:cs="Arial" w:eastAsia="Arial" w:hAnsi="Arial"/>
          <w:sz w:val="28"/>
          <w:szCs w:val="28"/>
          <w:color w:val="auto"/>
          <w:vertAlign w:val="superscript"/>
        </w:rPr>
      </w:pPr>
    </w:p>
    <w:p>
      <w:pPr>
        <w:jc w:val="both"/>
        <w:ind w:left="766" w:hanging="496"/>
        <w:spacing w:after="0" w:line="253" w:lineRule="auto"/>
        <w:tabs>
          <w:tab w:leader="none" w:pos="766" w:val="left"/>
        </w:tabs>
        <w:numPr>
          <w:ilvl w:val="1"/>
          <w:numId w:val="122"/>
        </w:numPr>
        <w:rPr>
          <w:rFonts w:ascii="Arial" w:cs="Arial" w:eastAsia="Arial" w:hAnsi="Arial"/>
          <w:sz w:val="18"/>
          <w:szCs w:val="18"/>
          <w:color w:val="auto"/>
        </w:rPr>
      </w:pPr>
      <w:r>
        <w:rPr>
          <w:rFonts w:ascii="Arial" w:cs="Arial" w:eastAsia="Arial" w:hAnsi="Arial"/>
          <w:sz w:val="18"/>
          <w:szCs w:val="18"/>
          <w:color w:val="auto"/>
        </w:rPr>
        <w:t>the ultimate direction of the business of the Company and the issuance of the required directives;</w:t>
      </w:r>
    </w:p>
    <w:p>
      <w:pPr>
        <w:spacing w:after="0" w:line="60" w:lineRule="exact"/>
        <w:rPr>
          <w:rFonts w:ascii="Arial" w:cs="Arial" w:eastAsia="Arial" w:hAnsi="Arial"/>
          <w:sz w:val="18"/>
          <w:szCs w:val="18"/>
          <w:color w:val="auto"/>
        </w:rPr>
      </w:pPr>
    </w:p>
    <w:p>
      <w:pPr>
        <w:ind w:left="766" w:hanging="496"/>
        <w:spacing w:after="0" w:line="271" w:lineRule="auto"/>
        <w:tabs>
          <w:tab w:leader="none" w:pos="766" w:val="left"/>
        </w:tabs>
        <w:numPr>
          <w:ilvl w:val="1"/>
          <w:numId w:val="122"/>
        </w:numPr>
        <w:rPr>
          <w:rFonts w:ascii="Arial" w:cs="Arial" w:eastAsia="Arial" w:hAnsi="Arial"/>
          <w:sz w:val="18"/>
          <w:szCs w:val="18"/>
          <w:color w:val="auto"/>
        </w:rPr>
      </w:pPr>
      <w:r>
        <w:rPr>
          <w:rFonts w:ascii="Arial" w:cs="Arial" w:eastAsia="Arial" w:hAnsi="Arial"/>
          <w:sz w:val="18"/>
          <w:szCs w:val="18"/>
          <w:color w:val="auto"/>
        </w:rPr>
        <w:t>the determination of the organization of the Company; and</w:t>
      </w:r>
    </w:p>
    <w:p>
      <w:pPr>
        <w:spacing w:after="0" w:line="45" w:lineRule="exact"/>
        <w:rPr>
          <w:rFonts w:ascii="Arial" w:cs="Arial" w:eastAsia="Arial" w:hAnsi="Arial"/>
          <w:sz w:val="18"/>
          <w:szCs w:val="18"/>
          <w:color w:val="auto"/>
        </w:rPr>
      </w:pPr>
    </w:p>
    <w:p>
      <w:pPr>
        <w:ind w:left="766" w:hanging="496"/>
        <w:spacing w:after="0" w:line="242" w:lineRule="auto"/>
        <w:tabs>
          <w:tab w:leader="none" w:pos="766" w:val="left"/>
        </w:tabs>
        <w:numPr>
          <w:ilvl w:val="1"/>
          <w:numId w:val="122"/>
        </w:numPr>
        <w:rPr>
          <w:rFonts w:ascii="Arial" w:cs="Arial" w:eastAsia="Arial" w:hAnsi="Arial"/>
          <w:sz w:val="18"/>
          <w:szCs w:val="18"/>
          <w:color w:val="auto"/>
        </w:rPr>
      </w:pPr>
      <w:r>
        <w:rPr>
          <w:rFonts w:ascii="Arial" w:cs="Arial" w:eastAsia="Arial" w:hAnsi="Arial"/>
          <w:sz w:val="18"/>
          <w:szCs w:val="18"/>
          <w:color w:val="auto"/>
        </w:rPr>
        <w:t>the ultimate supervision of the persons entrusted with management duties, in particular with regard to compliance with law, these Articles of Association, regulations and directives.</w:t>
      </w:r>
    </w:p>
    <w:p>
      <w:pPr>
        <w:spacing w:after="0" w:line="71" w:lineRule="exact"/>
        <w:rPr>
          <w:sz w:val="20"/>
          <w:szCs w:val="20"/>
          <w:color w:val="auto"/>
        </w:rPr>
      </w:pPr>
    </w:p>
    <w:p>
      <w:pPr>
        <w:ind w:left="266" w:right="20" w:hanging="266"/>
        <w:spacing w:after="0" w:line="216" w:lineRule="auto"/>
        <w:tabs>
          <w:tab w:leader="none" w:pos="266" w:val="left"/>
        </w:tabs>
        <w:numPr>
          <w:ilvl w:val="0"/>
          <w:numId w:val="123"/>
        </w:numPr>
        <w:rPr>
          <w:rFonts w:ascii="Arial" w:cs="Arial" w:eastAsia="Arial" w:hAnsi="Arial"/>
          <w:sz w:val="29"/>
          <w:szCs w:val="29"/>
          <w:color w:val="auto"/>
          <w:vertAlign w:val="superscript"/>
        </w:rPr>
      </w:pPr>
      <w:r>
        <w:rPr>
          <w:rFonts w:ascii="Arial" w:cs="Arial" w:eastAsia="Arial" w:hAnsi="Arial"/>
          <w:sz w:val="18"/>
          <w:szCs w:val="18"/>
          <w:color w:val="auto"/>
        </w:rPr>
        <w:t>In addition, the Board of Directors may pass resolutions with respect to all matters that are not reserved to the General Meeting of Shareholders by law or under these Articles of Association.</w:t>
      </w:r>
    </w:p>
    <w:p>
      <w:pPr>
        <w:spacing w:after="0" w:line="75" w:lineRule="exact"/>
        <w:rPr>
          <w:sz w:val="20"/>
          <w:szCs w:val="20"/>
          <w:color w:val="auto"/>
        </w:rPr>
      </w:pPr>
    </w:p>
    <w:p>
      <w:pPr>
        <w:sectPr>
          <w:pgSz w:w="11900" w:h="16838" w:orient="portrait"/>
          <w:cols w:equalWidth="0" w:num="2">
            <w:col w:w="5440" w:space="194"/>
            <w:col w:w="3686"/>
          </w:cols>
          <w:pgMar w:left="1220" w:top="670"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4"/>
          <w:szCs w:val="14"/>
          <w:color w:val="auto"/>
        </w:rPr>
        <w:t>Übertragung</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von</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Befugnissen</w:t>
      </w:r>
    </w:p>
    <w:p>
      <w:pPr>
        <w:spacing w:after="0" w:line="20" w:lineRule="exact"/>
        <w:rPr>
          <w:sz w:val="20"/>
          <w:szCs w:val="20"/>
          <w:color w:val="auto"/>
        </w:rPr>
      </w:pPr>
      <w:r>
        <w:rPr>
          <w:sz w:val="20"/>
          <w:szCs w:val="20"/>
          <w:color w:val="auto"/>
        </w:rPr>
        <w:br w:type="column"/>
      </w:r>
    </w:p>
    <w:p>
      <w:pPr>
        <w:ind w:left="277" w:right="200" w:hanging="277"/>
        <w:spacing w:after="0" w:line="212" w:lineRule="auto"/>
        <w:tabs>
          <w:tab w:leader="none" w:pos="277" w:val="left"/>
        </w:tabs>
        <w:numPr>
          <w:ilvl w:val="0"/>
          <w:numId w:val="124"/>
        </w:numPr>
        <w:rPr>
          <w:rFonts w:ascii="Arial" w:cs="Arial" w:eastAsia="Arial" w:hAnsi="Arial"/>
          <w:sz w:val="29"/>
          <w:szCs w:val="29"/>
          <w:color w:val="auto"/>
          <w:vertAlign w:val="superscript"/>
        </w:rPr>
      </w:pPr>
      <w:r>
        <w:rPr>
          <w:rFonts w:ascii="Arial" w:cs="Arial" w:eastAsia="Arial" w:hAnsi="Arial"/>
          <w:sz w:val="18"/>
          <w:szCs w:val="18"/>
          <w:color w:val="auto"/>
        </w:rPr>
        <w:t>Der Verwaltungsrat kann Beteiligungspläne der Gesellschaft der Generalversammlung zur Genehmigung vorlegen.</w:t>
      </w:r>
    </w:p>
    <w:p>
      <w:pPr>
        <w:spacing w:after="0" w:line="74" w:lineRule="exact"/>
        <w:rPr>
          <w:rFonts w:ascii="Arial" w:cs="Arial" w:eastAsia="Arial" w:hAnsi="Arial"/>
          <w:sz w:val="29"/>
          <w:szCs w:val="29"/>
          <w:color w:val="auto"/>
          <w:vertAlign w:val="superscript"/>
        </w:rPr>
      </w:pPr>
    </w:p>
    <w:p>
      <w:pPr>
        <w:ind w:left="277"/>
        <w:spacing w:after="0"/>
        <w:rPr>
          <w:rFonts w:ascii="Arial" w:cs="Arial" w:eastAsia="Arial" w:hAnsi="Arial"/>
          <w:sz w:val="29"/>
          <w:szCs w:val="29"/>
          <w:color w:val="auto"/>
          <w:vertAlign w:val="superscript"/>
        </w:rPr>
      </w:pPr>
      <w:r>
        <w:rPr>
          <w:rFonts w:ascii="Arial" w:cs="Arial" w:eastAsia="Arial" w:hAnsi="Arial"/>
          <w:sz w:val="18"/>
          <w:szCs w:val="18"/>
          <w:b w:val="1"/>
          <w:bCs w:val="1"/>
          <w:color w:val="auto"/>
        </w:rPr>
        <w:t>Artikel 26</w:t>
      </w:r>
    </w:p>
    <w:p>
      <w:pPr>
        <w:spacing w:after="0" w:line="225" w:lineRule="exact"/>
        <w:rPr>
          <w:rFonts w:ascii="Arial" w:cs="Arial" w:eastAsia="Arial" w:hAnsi="Arial"/>
          <w:sz w:val="29"/>
          <w:szCs w:val="29"/>
          <w:color w:val="auto"/>
          <w:vertAlign w:val="superscript"/>
        </w:rPr>
      </w:pPr>
    </w:p>
    <w:p>
      <w:pPr>
        <w:ind w:left="277"/>
        <w:spacing w:after="0" w:line="238" w:lineRule="auto"/>
        <w:rPr>
          <w:rFonts w:ascii="Arial" w:cs="Arial" w:eastAsia="Arial" w:hAnsi="Arial"/>
          <w:sz w:val="29"/>
          <w:szCs w:val="29"/>
          <w:color w:val="auto"/>
          <w:vertAlign w:val="superscript"/>
        </w:rPr>
      </w:pPr>
      <w:r>
        <w:rPr>
          <w:rFonts w:ascii="Arial" w:cs="Arial" w:eastAsia="Arial" w:hAnsi="Arial"/>
          <w:sz w:val="18"/>
          <w:szCs w:val="18"/>
          <w:color w:val="auto"/>
        </w:rPr>
        <w:t>Der Verwaltungsrat kann unter Vorbehalt von Artikel 25 Abs. 1 dieser Statuten sowie der Vorschriften des OR die Geschäftsleitung nach Massgabe eines Organisationsreglements ganz oder teilweise an eines oder mehrere seiner Mitglieder, an einen oder mehrere Ausschüsse des Verwaltungsrates oder an Dritte übertragen. Die Verwaltungsratsmitglieder, Ausschüsse oder die Dritten, die vom Verwaltungsrat mit Geschäftsleitungsaufgaben betraut sind, werden in diesen Statuten als "</w:t>
      </w:r>
      <w:r>
        <w:rPr>
          <w:rFonts w:ascii="Arial" w:cs="Arial" w:eastAsia="Arial" w:hAnsi="Arial"/>
          <w:sz w:val="18"/>
          <w:szCs w:val="18"/>
          <w:b w:val="1"/>
          <w:bCs w:val="1"/>
          <w:color w:val="auto"/>
        </w:rPr>
        <w:t>Geschäftsleitung</w:t>
      </w:r>
      <w:r>
        <w:rPr>
          <w:rFonts w:ascii="Arial" w:cs="Arial" w:eastAsia="Arial" w:hAnsi="Arial"/>
          <w:sz w:val="18"/>
          <w:szCs w:val="18"/>
          <w:color w:val="auto"/>
        </w:rPr>
        <w:t>" bezeichnet.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line="285" w:lineRule="auto"/>
        <w:rPr>
          <w:sz w:val="20"/>
          <w:szCs w:val="20"/>
          <w:color w:val="auto"/>
        </w:rPr>
      </w:pPr>
      <w:r>
        <w:rPr>
          <w:rFonts w:ascii="Arial" w:cs="Arial" w:eastAsia="Arial" w:hAnsi="Arial"/>
          <w:sz w:val="14"/>
          <w:szCs w:val="14"/>
          <w:color w:val="auto"/>
        </w:rPr>
        <w:t>Delegation of Powers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-3133725</wp:posOffset>
            </wp:positionH>
            <wp:positionV relativeFrom="paragraph">
              <wp:posOffset>2146300</wp:posOffset>
            </wp:positionV>
            <wp:extent cx="629221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266" w:right="40" w:hanging="266"/>
        <w:spacing w:after="0" w:line="212" w:lineRule="auto"/>
        <w:tabs>
          <w:tab w:leader="none" w:pos="266" w:val="left"/>
        </w:tabs>
        <w:numPr>
          <w:ilvl w:val="0"/>
          <w:numId w:val="125"/>
        </w:numPr>
        <w:rPr>
          <w:rFonts w:ascii="Arial" w:cs="Arial" w:eastAsia="Arial" w:hAnsi="Arial"/>
          <w:sz w:val="29"/>
          <w:szCs w:val="29"/>
          <w:color w:val="auto"/>
          <w:vertAlign w:val="superscript"/>
        </w:rPr>
      </w:pPr>
      <w:r>
        <w:rPr>
          <w:rFonts w:ascii="Arial" w:cs="Arial" w:eastAsia="Arial" w:hAnsi="Arial"/>
          <w:sz w:val="18"/>
          <w:szCs w:val="18"/>
          <w:color w:val="auto"/>
        </w:rPr>
        <w:t>The Board of Directors may submit benefit or incentive plans of the Company to the General Meeting of Shareholders for approval.</w:t>
      </w:r>
    </w:p>
    <w:p>
      <w:pPr>
        <w:spacing w:after="0" w:line="74" w:lineRule="exact"/>
        <w:rPr>
          <w:rFonts w:ascii="Arial" w:cs="Arial" w:eastAsia="Arial" w:hAnsi="Arial"/>
          <w:sz w:val="29"/>
          <w:szCs w:val="29"/>
          <w:color w:val="auto"/>
          <w:vertAlign w:val="superscript"/>
        </w:rPr>
      </w:pPr>
    </w:p>
    <w:p>
      <w:pPr>
        <w:ind w:left="266"/>
        <w:spacing w:after="0"/>
        <w:rPr>
          <w:rFonts w:ascii="Arial" w:cs="Arial" w:eastAsia="Arial" w:hAnsi="Arial"/>
          <w:sz w:val="29"/>
          <w:szCs w:val="29"/>
          <w:color w:val="auto"/>
          <w:vertAlign w:val="superscript"/>
        </w:rPr>
      </w:pPr>
      <w:r>
        <w:rPr>
          <w:rFonts w:ascii="Arial" w:cs="Arial" w:eastAsia="Arial" w:hAnsi="Arial"/>
          <w:sz w:val="18"/>
          <w:szCs w:val="18"/>
          <w:b w:val="1"/>
          <w:bCs w:val="1"/>
          <w:color w:val="auto"/>
        </w:rPr>
        <w:t>Article 26</w:t>
      </w:r>
    </w:p>
    <w:p>
      <w:pPr>
        <w:spacing w:after="0" w:line="225" w:lineRule="exact"/>
        <w:rPr>
          <w:rFonts w:ascii="Arial" w:cs="Arial" w:eastAsia="Arial" w:hAnsi="Arial"/>
          <w:sz w:val="29"/>
          <w:szCs w:val="29"/>
          <w:color w:val="auto"/>
          <w:vertAlign w:val="superscript"/>
        </w:rPr>
      </w:pPr>
    </w:p>
    <w:p>
      <w:pPr>
        <w:ind w:left="266" w:right="40"/>
        <w:spacing w:after="0" w:line="238" w:lineRule="auto"/>
        <w:rPr>
          <w:rFonts w:ascii="Arial" w:cs="Arial" w:eastAsia="Arial" w:hAnsi="Arial"/>
          <w:sz w:val="29"/>
          <w:szCs w:val="29"/>
          <w:color w:val="auto"/>
          <w:vertAlign w:val="superscript"/>
        </w:rPr>
      </w:pPr>
      <w:r>
        <w:rPr>
          <w:rFonts w:ascii="Arial" w:cs="Arial" w:eastAsia="Arial" w:hAnsi="Arial"/>
          <w:sz w:val="18"/>
          <w:szCs w:val="18"/>
          <w:color w:val="auto"/>
        </w:rPr>
        <w:t>Subject to Article 25 para. 1 of these Articles of Association and the applicable provisions of the CO, the Board of Directors may delegate the executive management of the Company in whole or in part to individual directors, one or more committees of the Board of Directors or to persons other than Directors pursuant to organizational regulations. The directors, committees or persons to whom the Board of Directors delegates executive management shall be referred to in these Articles of Association as the "</w:t>
      </w:r>
      <w:r>
        <w:rPr>
          <w:rFonts w:ascii="Arial" w:cs="Arial" w:eastAsia="Arial" w:hAnsi="Arial"/>
          <w:sz w:val="18"/>
          <w:szCs w:val="18"/>
          <w:b w:val="1"/>
          <w:bCs w:val="1"/>
          <w:color w:val="auto"/>
        </w:rPr>
        <w:t>Executive</w:t>
      </w:r>
      <w:r>
        <w:rPr>
          <w:rFonts w:ascii="Arial" w:cs="Arial" w:eastAsia="Arial" w:hAnsi="Arial"/>
          <w:sz w:val="18"/>
          <w:szCs w:val="18"/>
          <w:color w:val="auto"/>
        </w:rPr>
        <w:t xml:space="preserve"> </w:t>
      </w:r>
      <w:r>
        <w:rPr>
          <w:rFonts w:ascii="Arial" w:cs="Arial" w:eastAsia="Arial" w:hAnsi="Arial"/>
          <w:sz w:val="18"/>
          <w:szCs w:val="18"/>
          <w:b w:val="1"/>
          <w:bCs w:val="1"/>
          <w:color w:val="auto"/>
        </w:rPr>
        <w:t>Management Team</w:t>
      </w:r>
      <w:r>
        <w:rPr>
          <w:rFonts w:ascii="Arial" w:cs="Arial" w:eastAsia="Arial" w:hAnsi="Arial"/>
          <w:sz w:val="18"/>
          <w:szCs w:val="18"/>
          <w:color w:val="auto"/>
        </w:rPr>
        <w:t>."</w:t>
      </w:r>
    </w:p>
    <w:p>
      <w:pPr>
        <w:sectPr>
          <w:pgSz w:w="11900" w:h="16838" w:orient="portrait"/>
          <w:cols w:equalWidth="0" w:num="4">
            <w:col w:w="800" w:space="163"/>
            <w:col w:w="3677" w:space="160"/>
            <w:col w:w="680" w:space="154"/>
            <w:col w:w="3686"/>
          </w:cols>
          <w:pgMar w:left="1220" w:top="670" w:right="1359" w:bottom="1440" w:gutter="0" w:footer="0" w:header="0"/>
          <w:type w:val="continuous"/>
        </w:sectPr>
      </w:pPr>
    </w:p>
    <w:bookmarkStart w:id="33" w:name="page34"/>
    <w:bookmarkEnd w:id="33"/>
    <w:p>
      <w:pPr>
        <w:jc w:val="center"/>
        <w:ind w:right="-299"/>
        <w:spacing w:after="0"/>
        <w:rPr>
          <w:sz w:val="20"/>
          <w:szCs w:val="20"/>
          <w:color w:val="auto"/>
        </w:rPr>
      </w:pPr>
      <w:r>
        <w:rPr>
          <w:rFonts w:ascii="Arial" w:cs="Arial" w:eastAsia="Arial" w:hAnsi="Arial"/>
          <w:sz w:val="14"/>
          <w:szCs w:val="14"/>
          <w:color w:val="auto"/>
        </w:rPr>
        <w:t>- 26 -</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400"/>
        <w:spacing w:after="0"/>
        <w:tabs>
          <w:tab w:leader="none" w:pos="6000" w:val="left"/>
        </w:tabs>
        <w:rPr>
          <w:sz w:val="20"/>
          <w:szCs w:val="20"/>
          <w:color w:val="auto"/>
        </w:rPr>
      </w:pPr>
      <w:r>
        <w:rPr>
          <w:rFonts w:ascii="Arial" w:cs="Arial" w:eastAsia="Arial" w:hAnsi="Arial"/>
          <w:sz w:val="18"/>
          <w:szCs w:val="18"/>
          <w:b w:val="1"/>
          <w:bCs w:val="1"/>
          <w:color w:val="auto"/>
        </w:rPr>
        <w:t>Artikel 27</w:t>
      </w:r>
      <w:r>
        <w:rPr>
          <w:sz w:val="20"/>
          <w:szCs w:val="20"/>
          <w:color w:val="auto"/>
        </w:rPr>
        <w:tab/>
      </w:r>
      <w:r>
        <w:rPr>
          <w:rFonts w:ascii="Arial" w:cs="Arial" w:eastAsia="Arial" w:hAnsi="Arial"/>
          <w:sz w:val="17"/>
          <w:szCs w:val="17"/>
          <w:b w:val="1"/>
          <w:bCs w:val="1"/>
          <w:color w:val="auto"/>
        </w:rPr>
        <w:t>Article 27</w:t>
      </w:r>
    </w:p>
    <w:p>
      <w:pPr>
        <w:sectPr>
          <w:pgSz w:w="11900" w:h="16838" w:orient="portrait"/>
          <w:cols w:equalWidth="0" w:num="1">
            <w:col w:w="9340"/>
          </w:cols>
          <w:pgMar w:left="1220" w:top="670" w:right="1339" w:bottom="1440" w:gutter="0" w:footer="0" w:header="0"/>
        </w:sect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80" w:type="dxa"/>
            <w:vAlign w:val="bottom"/>
          </w:tcPr>
          <w:p>
            <w:pPr>
              <w:spacing w:after="0"/>
              <w:rPr>
                <w:sz w:val="20"/>
                <w:szCs w:val="20"/>
                <w:color w:val="auto"/>
              </w:rPr>
            </w:pPr>
            <w:r>
              <w:rPr>
                <w:rFonts w:ascii="Arial" w:cs="Arial" w:eastAsia="Arial" w:hAnsi="Arial"/>
                <w:sz w:val="14"/>
                <w:szCs w:val="14"/>
                <w:color w:val="auto"/>
              </w:rPr>
              <w:t>Sitzungen des</w:t>
            </w:r>
          </w:p>
        </w:tc>
        <w:tc>
          <w:tcPr>
            <w:tcW w:w="16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190"/>
        </w:trPr>
        <w:tc>
          <w:tcPr>
            <w:tcW w:w="1080" w:type="dxa"/>
            <w:vAlign w:val="bottom"/>
          </w:tcPr>
          <w:p>
            <w:pPr>
              <w:spacing w:after="0"/>
              <w:rPr>
                <w:sz w:val="20"/>
                <w:szCs w:val="20"/>
                <w:color w:val="auto"/>
              </w:rPr>
            </w:pPr>
            <w:r>
              <w:rPr>
                <w:rFonts w:ascii="Arial" w:cs="Arial" w:eastAsia="Arial" w:hAnsi="Arial"/>
                <w:sz w:val="14"/>
                <w:szCs w:val="14"/>
                <w:color w:val="auto"/>
              </w:rPr>
              <w:t>Verwaltungsrats</w:t>
            </w:r>
          </w:p>
        </w:tc>
        <w:tc>
          <w:tcPr>
            <w:tcW w:w="16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Sofern das vom Verwaltungsrat erlassene Organisationsreglement nichts anderes festlegt, ist zur gültigen Beschlussfassung über Geschäfte des Verwaltungsrates die Anwesenheit einer Mehrheit der Mitglieder des gesamten Verwaltungsrates notwendig. Kein Präsenzquorum ist erforderlich für die Statutenanpassungs- und Feststellungsbeschlüsse des Verwaltungsrates im Zusammenhang mit Kapitalerhöhungen.</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line="256" w:lineRule="auto"/>
        <w:rPr>
          <w:sz w:val="20"/>
          <w:szCs w:val="20"/>
          <w:color w:val="auto"/>
        </w:rPr>
      </w:pPr>
      <w:r>
        <w:rPr>
          <w:rFonts w:ascii="Arial" w:cs="Arial" w:eastAsia="Arial" w:hAnsi="Arial"/>
          <w:sz w:val="14"/>
          <w:szCs w:val="14"/>
          <w:color w:val="auto"/>
        </w:rPr>
        <w:t>Meeting of 1 the Board of</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color w:val="auto"/>
        </w:rPr>
        <w:t>Directors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Except as otherwise set forth in organizational regulations of the Board of Directors, the attendance quorum necessary for the transaction of the business of the Board of Directors shall be a majority of the whole Board of Directors. No attendance quorum shall be required for resolutions of the Board of Directors providing for the confirmation of a capital increase or for the amendment of the Articles of Association in connection therewith.</w:t>
      </w:r>
    </w:p>
    <w:p>
      <w:pPr>
        <w:spacing w:after="0" w:line="75" w:lineRule="exact"/>
        <w:rPr>
          <w:sz w:val="20"/>
          <w:szCs w:val="20"/>
          <w:color w:val="auto"/>
        </w:rPr>
      </w:pPr>
    </w:p>
    <w:p>
      <w:pPr>
        <w:sectPr>
          <w:pgSz w:w="11900" w:h="16838" w:orient="portrait"/>
          <w:cols w:equalWidth="0" w:num="4">
            <w:col w:w="1240" w:space="160"/>
            <w:col w:w="3340" w:space="160"/>
            <w:col w:w="920" w:space="200"/>
            <w:col w:w="3320"/>
          </w:cols>
          <w:pgMar w:left="1220" w:top="670" w:right="1339" w:bottom="1440" w:gutter="0" w:footer="0" w:header="0"/>
          <w:type w:val="continuous"/>
        </w:sectPr>
      </w:pPr>
    </w:p>
    <w:p>
      <w:pPr>
        <w:ind w:left="1400" w:right="342" w:hanging="248"/>
        <w:spacing w:after="0" w:line="223" w:lineRule="auto"/>
        <w:tabs>
          <w:tab w:leader="none" w:pos="1400" w:val="left"/>
        </w:tabs>
        <w:numPr>
          <w:ilvl w:val="0"/>
          <w:numId w:val="126"/>
        </w:numPr>
        <w:rPr>
          <w:rFonts w:ascii="Arial" w:cs="Arial" w:eastAsia="Arial" w:hAnsi="Arial"/>
          <w:sz w:val="29"/>
          <w:szCs w:val="29"/>
          <w:color w:val="auto"/>
          <w:vertAlign w:val="superscript"/>
        </w:rPr>
      </w:pPr>
      <w:r>
        <w:rPr>
          <w:rFonts w:ascii="Arial" w:cs="Arial" w:eastAsia="Arial" w:hAnsi="Arial"/>
          <w:sz w:val="18"/>
          <w:szCs w:val="18"/>
          <w:color w:val="auto"/>
        </w:rPr>
        <w:t>Der Verwaltungsrat fasst seine Beschlüsse mit einer Mehrheit der von den anwesenden Verwaltungsräten abgegebenen Stimmen, vorausgesetzt, das Präsenzquorum von Absatz 1 dieses Artikels 27 ist erfüllt. Der Vorsitzende hat bei Stimmengleichheit keinen Stichentscheid.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366395</wp:posOffset>
            </wp:positionV>
            <wp:extent cx="629221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278" w:right="20" w:hanging="278"/>
        <w:spacing w:after="0" w:line="231" w:lineRule="auto"/>
        <w:tabs>
          <w:tab w:leader="none" w:pos="278" w:val="left"/>
        </w:tabs>
        <w:numPr>
          <w:ilvl w:val="0"/>
          <w:numId w:val="127"/>
        </w:numPr>
        <w:rPr>
          <w:rFonts w:ascii="Arial" w:cs="Arial" w:eastAsia="Arial" w:hAnsi="Arial"/>
          <w:sz w:val="28"/>
          <w:szCs w:val="28"/>
          <w:color w:val="auto"/>
          <w:vertAlign w:val="superscript"/>
        </w:rPr>
      </w:pPr>
      <w:r>
        <w:rPr>
          <w:rFonts w:ascii="Arial" w:cs="Arial" w:eastAsia="Arial" w:hAnsi="Arial"/>
          <w:sz w:val="17"/>
          <w:szCs w:val="17"/>
          <w:color w:val="auto"/>
        </w:rPr>
        <w:t>The Board of Directors shall pass its resolutions with the majority of the votes cast by the Directors present at a meeting at which the attendance quorum of para. 1 of this Article 27 is satisfied. The Chairman shall have no casting vote.</w:t>
      </w:r>
    </w:p>
    <w:p>
      <w:pPr>
        <w:sectPr>
          <w:pgSz w:w="11900" w:h="16838" w:orient="portrait"/>
          <w:cols w:equalWidth="0" w:num="2">
            <w:col w:w="5022" w:space="720"/>
            <w:col w:w="3598"/>
          </w:cols>
          <w:pgMar w:left="1220" w:top="670" w:right="1339" w:bottom="1440" w:gutter="0" w:footer="0" w:header="0"/>
          <w:type w:val="continuous"/>
        </w:sectPr>
      </w:pPr>
    </w:p>
    <w:bookmarkStart w:id="34" w:name="page35"/>
    <w:bookmarkEnd w:id="3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line="285" w:lineRule="auto"/>
        <w:rPr>
          <w:sz w:val="20"/>
          <w:szCs w:val="20"/>
          <w:color w:val="auto"/>
        </w:rPr>
      </w:pPr>
      <w:r>
        <w:rPr>
          <w:rFonts w:ascii="Arial" w:cs="Arial" w:eastAsia="Arial" w:hAnsi="Arial"/>
          <w:sz w:val="14"/>
          <w:szCs w:val="14"/>
          <w:color w:val="auto"/>
        </w:rPr>
        <w:t>Zeichnungs-berechtigung</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3160" w:type="dxa"/>
            <w:vAlign w:val="bottom"/>
          </w:tcPr>
          <w:p>
            <w:pPr>
              <w:spacing w:after="0"/>
              <w:rPr>
                <w:sz w:val="16"/>
                <w:szCs w:val="16"/>
                <w:color w:val="auto"/>
              </w:rPr>
            </w:pPr>
          </w:p>
        </w:tc>
        <w:tc>
          <w:tcPr>
            <w:tcW w:w="860" w:type="dxa"/>
            <w:vAlign w:val="bottom"/>
          </w:tcPr>
          <w:p>
            <w:pPr>
              <w:jc w:val="right"/>
              <w:ind w:right="368"/>
              <w:spacing w:after="0"/>
              <w:rPr>
                <w:sz w:val="20"/>
                <w:szCs w:val="20"/>
                <w:color w:val="auto"/>
              </w:rPr>
            </w:pPr>
            <w:r>
              <w:rPr>
                <w:rFonts w:ascii="Arial" w:cs="Arial" w:eastAsia="Arial" w:hAnsi="Arial"/>
                <w:sz w:val="14"/>
                <w:szCs w:val="14"/>
                <w:color w:val="auto"/>
              </w:rPr>
              <w:t>- 27 -</w:t>
            </w:r>
          </w:p>
        </w:tc>
      </w:tr>
      <w:tr>
        <w:trPr>
          <w:trHeight w:val="871"/>
        </w:trPr>
        <w:tc>
          <w:tcPr>
            <w:tcW w:w="3160" w:type="dxa"/>
            <w:vAlign w:val="bottom"/>
          </w:tcPr>
          <w:p>
            <w:pPr>
              <w:spacing w:after="0"/>
              <w:rPr>
                <w:sz w:val="20"/>
                <w:szCs w:val="20"/>
                <w:color w:val="auto"/>
              </w:rPr>
            </w:pPr>
            <w:r>
              <w:rPr>
                <w:rFonts w:ascii="Arial" w:cs="Arial" w:eastAsia="Arial" w:hAnsi="Arial"/>
                <w:sz w:val="18"/>
                <w:szCs w:val="18"/>
                <w:b w:val="1"/>
                <w:bCs w:val="1"/>
                <w:color w:val="auto"/>
              </w:rPr>
              <w:t>Artikel 28</w:t>
            </w:r>
          </w:p>
        </w:tc>
        <w:tc>
          <w:tcPr>
            <w:tcW w:w="860" w:type="dxa"/>
            <w:vAlign w:val="bottom"/>
          </w:tcPr>
          <w:p>
            <w:pPr>
              <w:spacing w:after="0"/>
              <w:rPr>
                <w:sz w:val="24"/>
                <w:szCs w:val="24"/>
                <w:color w:val="auto"/>
              </w:rPr>
            </w:pPr>
          </w:p>
        </w:tc>
      </w:tr>
      <w:tr>
        <w:trPr>
          <w:trHeight w:val="366"/>
        </w:trPr>
        <w:tc>
          <w:tcPr>
            <w:tcW w:w="3160" w:type="dxa"/>
            <w:vAlign w:val="bottom"/>
          </w:tcPr>
          <w:p>
            <w:pPr>
              <w:spacing w:after="0"/>
              <w:rPr>
                <w:sz w:val="20"/>
                <w:szCs w:val="20"/>
                <w:color w:val="auto"/>
              </w:rPr>
            </w:pPr>
            <w:r>
              <w:rPr>
                <w:rFonts w:ascii="Arial" w:cs="Arial" w:eastAsia="Arial" w:hAnsi="Arial"/>
                <w:sz w:val="18"/>
                <w:szCs w:val="18"/>
                <w:color w:val="auto"/>
              </w:rPr>
              <w:t>Die rechtsverbindliche Vertretung der</w:t>
            </w:r>
          </w:p>
        </w:tc>
        <w:tc>
          <w:tcPr>
            <w:tcW w:w="860" w:type="dxa"/>
            <w:vAlign w:val="bottom"/>
          </w:tcPr>
          <w:p>
            <w:pPr>
              <w:ind w:left="240"/>
              <w:spacing w:after="0"/>
              <w:rPr>
                <w:sz w:val="20"/>
                <w:szCs w:val="20"/>
                <w:color w:val="auto"/>
              </w:rPr>
            </w:pPr>
            <w:r>
              <w:rPr>
                <w:rFonts w:ascii="Arial" w:cs="Arial" w:eastAsia="Arial" w:hAnsi="Arial"/>
                <w:sz w:val="14"/>
                <w:szCs w:val="14"/>
                <w:color w:val="auto"/>
              </w:rPr>
              <w:t>Signature</w:t>
            </w:r>
          </w:p>
        </w:tc>
      </w:tr>
      <w:tr>
        <w:trPr>
          <w:trHeight w:val="224"/>
        </w:trPr>
        <w:tc>
          <w:tcPr>
            <w:tcW w:w="3160" w:type="dxa"/>
            <w:vAlign w:val="bottom"/>
          </w:tcPr>
          <w:p>
            <w:pPr>
              <w:spacing w:after="0"/>
              <w:rPr>
                <w:sz w:val="20"/>
                <w:szCs w:val="20"/>
                <w:color w:val="auto"/>
              </w:rPr>
            </w:pPr>
            <w:r>
              <w:rPr>
                <w:rFonts w:ascii="Arial" w:cs="Arial" w:eastAsia="Arial" w:hAnsi="Arial"/>
                <w:sz w:val="18"/>
                <w:szCs w:val="18"/>
                <w:color w:val="auto"/>
              </w:rPr>
              <w:t>Gesellschaft durch Mitglieder des</w:t>
            </w:r>
          </w:p>
        </w:tc>
        <w:tc>
          <w:tcPr>
            <w:tcW w:w="860" w:type="dxa"/>
            <w:vAlign w:val="bottom"/>
          </w:tcPr>
          <w:p>
            <w:pPr>
              <w:ind w:left="240"/>
              <w:spacing w:after="0"/>
              <w:rPr>
                <w:sz w:val="20"/>
                <w:szCs w:val="20"/>
                <w:color w:val="auto"/>
              </w:rPr>
            </w:pPr>
            <w:r>
              <w:rPr>
                <w:rFonts w:ascii="Arial" w:cs="Arial" w:eastAsia="Arial" w:hAnsi="Arial"/>
                <w:sz w:val="14"/>
                <w:szCs w:val="14"/>
                <w:color w:val="auto"/>
              </w:rPr>
              <w:t>Power</w:t>
            </w:r>
          </w:p>
        </w:tc>
      </w:tr>
      <w:tr>
        <w:trPr>
          <w:trHeight w:val="203"/>
        </w:trPr>
        <w:tc>
          <w:tcPr>
            <w:tcW w:w="3160" w:type="dxa"/>
            <w:vAlign w:val="bottom"/>
          </w:tcPr>
          <w:p>
            <w:pPr>
              <w:spacing w:after="0" w:line="202" w:lineRule="exact"/>
              <w:rPr>
                <w:sz w:val="20"/>
                <w:szCs w:val="20"/>
                <w:color w:val="auto"/>
              </w:rPr>
            </w:pPr>
            <w:r>
              <w:rPr>
                <w:rFonts w:ascii="Arial" w:cs="Arial" w:eastAsia="Arial" w:hAnsi="Arial"/>
                <w:sz w:val="18"/>
                <w:szCs w:val="18"/>
                <w:color w:val="auto"/>
              </w:rPr>
              <w:t>Verwaltungsrates und durch Dritte wird</w:t>
            </w:r>
          </w:p>
        </w:tc>
        <w:tc>
          <w:tcPr>
            <w:tcW w:w="860" w:type="dxa"/>
            <w:vAlign w:val="bottom"/>
          </w:tcPr>
          <w:p>
            <w:pPr>
              <w:spacing w:after="0"/>
              <w:rPr>
                <w:sz w:val="17"/>
                <w:szCs w:val="17"/>
                <w:color w:val="auto"/>
              </w:rPr>
            </w:pPr>
          </w:p>
        </w:tc>
      </w:tr>
      <w:tr>
        <w:trPr>
          <w:trHeight w:val="203"/>
        </w:trPr>
        <w:tc>
          <w:tcPr>
            <w:tcW w:w="3160" w:type="dxa"/>
            <w:vAlign w:val="bottom"/>
          </w:tcPr>
          <w:p>
            <w:pPr>
              <w:spacing w:after="0" w:line="202" w:lineRule="exact"/>
              <w:rPr>
                <w:sz w:val="20"/>
                <w:szCs w:val="20"/>
                <w:color w:val="auto"/>
              </w:rPr>
            </w:pPr>
            <w:r>
              <w:rPr>
                <w:rFonts w:ascii="Arial" w:cs="Arial" w:eastAsia="Arial" w:hAnsi="Arial"/>
                <w:sz w:val="18"/>
                <w:szCs w:val="18"/>
                <w:color w:val="auto"/>
              </w:rPr>
              <w:t>in einem Organisationsreglement</w:t>
            </w:r>
          </w:p>
        </w:tc>
        <w:tc>
          <w:tcPr>
            <w:tcW w:w="860" w:type="dxa"/>
            <w:vAlign w:val="bottom"/>
          </w:tcPr>
          <w:p>
            <w:pPr>
              <w:spacing w:after="0"/>
              <w:rPr>
                <w:sz w:val="17"/>
                <w:szCs w:val="17"/>
                <w:color w:val="auto"/>
              </w:rPr>
            </w:pPr>
          </w:p>
        </w:tc>
      </w:tr>
      <w:tr>
        <w:trPr>
          <w:trHeight w:val="239"/>
        </w:trPr>
        <w:tc>
          <w:tcPr>
            <w:tcW w:w="3160" w:type="dxa"/>
            <w:vAlign w:val="bottom"/>
          </w:tcPr>
          <w:p>
            <w:pPr>
              <w:spacing w:after="0"/>
              <w:rPr>
                <w:sz w:val="20"/>
                <w:szCs w:val="20"/>
                <w:color w:val="auto"/>
              </w:rPr>
            </w:pPr>
            <w:r>
              <w:rPr>
                <w:rFonts w:ascii="Arial" w:cs="Arial" w:eastAsia="Arial" w:hAnsi="Arial"/>
                <w:sz w:val="18"/>
                <w:szCs w:val="18"/>
                <w:color w:val="auto"/>
              </w:rPr>
              <w:t>festgelegt.</w:t>
            </w:r>
          </w:p>
        </w:tc>
        <w:tc>
          <w:tcPr>
            <w:tcW w:w="8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28</w:t>
      </w:r>
    </w:p>
    <w:p>
      <w:pPr>
        <w:spacing w:after="0" w:line="225"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The due and valid representation of the Company by members of the Board of Directors and other persons shall be set forth in organizational regulations.</w:t>
      </w:r>
    </w:p>
    <w:p>
      <w:pPr>
        <w:spacing w:after="0" w:line="270" w:lineRule="exact"/>
        <w:rPr>
          <w:sz w:val="20"/>
          <w:szCs w:val="20"/>
          <w:color w:val="auto"/>
        </w:rPr>
      </w:pPr>
    </w:p>
    <w:p>
      <w:pPr>
        <w:sectPr>
          <w:pgSz w:w="11900" w:h="16838" w:orient="portrait"/>
          <w:cols w:equalWidth="0" w:num="3">
            <w:col w:w="820" w:space="580"/>
            <w:col w:w="4020" w:space="720"/>
            <w:col w:w="3200"/>
          </w:cols>
          <w:pgMar w:left="1220" w:top="670"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4"/>
          <w:szCs w:val="14"/>
          <w:color w:val="auto"/>
        </w:rPr>
        <w:t>Amtsdauer,</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Organisation</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des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Vergütungsaus-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schusses</w:t>
      </w:r>
    </w:p>
    <w:p>
      <w:pPr>
        <w:spacing w:after="0" w:line="20" w:lineRule="exact"/>
        <w:rPr>
          <w:sz w:val="20"/>
          <w:szCs w:val="20"/>
          <w:color w:val="auto"/>
        </w:rPr>
      </w:pPr>
      <w:r>
        <w:rPr>
          <w:sz w:val="20"/>
          <w:szCs w:val="20"/>
          <w:color w:val="auto"/>
        </w:rPr>
        <w:br w:type="column"/>
      </w:r>
    </w:p>
    <w:p>
      <w:pPr>
        <w:ind w:left="261"/>
        <w:spacing w:after="0"/>
        <w:rPr>
          <w:sz w:val="20"/>
          <w:szCs w:val="20"/>
          <w:color w:val="auto"/>
        </w:rPr>
      </w:pPr>
      <w:r>
        <w:rPr>
          <w:rFonts w:ascii="Arial" w:cs="Arial" w:eastAsia="Arial" w:hAnsi="Arial"/>
          <w:sz w:val="18"/>
          <w:szCs w:val="18"/>
          <w:i w:val="1"/>
          <w:iCs w:val="1"/>
          <w:color w:val="auto"/>
        </w:rPr>
        <w:t>B</w:t>
      </w:r>
      <w:r>
        <w:rPr>
          <w:rFonts w:ascii="Arial" w:cs="Arial" w:eastAsia="Arial" w:hAnsi="Arial"/>
          <w:sz w:val="26"/>
          <w:szCs w:val="26"/>
          <w:i w:val="1"/>
          <w:iCs w:val="1"/>
          <w:color w:val="auto"/>
          <w:vertAlign w:val="superscript"/>
        </w:rPr>
        <w:t>bis</w:t>
      </w:r>
      <w:r>
        <w:rPr>
          <w:rFonts w:ascii="Arial" w:cs="Arial" w:eastAsia="Arial" w:hAnsi="Arial"/>
          <w:sz w:val="18"/>
          <w:szCs w:val="18"/>
          <w:i w:val="1"/>
          <w:iCs w:val="1"/>
          <w:color w:val="auto"/>
        </w:rPr>
        <w:t>. Vergütungsausschuss</w:t>
      </w:r>
    </w:p>
    <w:p>
      <w:pPr>
        <w:spacing w:after="0" w:line="131" w:lineRule="exact"/>
        <w:rPr>
          <w:sz w:val="20"/>
          <w:szCs w:val="20"/>
          <w:color w:val="auto"/>
        </w:rPr>
      </w:pPr>
    </w:p>
    <w:p>
      <w:pPr>
        <w:ind w:left="261"/>
        <w:spacing w:after="0"/>
        <w:rPr>
          <w:sz w:val="20"/>
          <w:szCs w:val="20"/>
          <w:color w:val="auto"/>
        </w:rPr>
      </w:pPr>
      <w:r>
        <w:rPr>
          <w:rFonts w:ascii="Arial" w:cs="Arial" w:eastAsia="Arial" w:hAnsi="Arial"/>
          <w:sz w:val="18"/>
          <w:szCs w:val="18"/>
          <w:b w:val="1"/>
          <w:bCs w:val="1"/>
          <w:color w:val="auto"/>
        </w:rPr>
        <w:t>Artikel 28a</w:t>
      </w:r>
    </w:p>
    <w:p>
      <w:pPr>
        <w:spacing w:after="0" w:line="225" w:lineRule="exact"/>
        <w:rPr>
          <w:sz w:val="20"/>
          <w:szCs w:val="20"/>
          <w:color w:val="auto"/>
        </w:rPr>
      </w:pPr>
    </w:p>
    <w:p>
      <w:pPr>
        <w:ind w:left="261" w:hanging="261"/>
        <w:spacing w:after="0" w:line="226" w:lineRule="auto"/>
        <w:tabs>
          <w:tab w:leader="none" w:pos="261" w:val="left"/>
        </w:tabs>
        <w:numPr>
          <w:ilvl w:val="0"/>
          <w:numId w:val="128"/>
        </w:numPr>
        <w:rPr>
          <w:rFonts w:ascii="Arial" w:cs="Arial" w:eastAsia="Arial" w:hAnsi="Arial"/>
          <w:sz w:val="29"/>
          <w:szCs w:val="29"/>
          <w:color w:val="auto"/>
          <w:vertAlign w:val="superscript"/>
        </w:rPr>
      </w:pPr>
      <w:r>
        <w:rPr>
          <w:rFonts w:ascii="Arial" w:cs="Arial" w:eastAsia="Arial" w:hAnsi="Arial"/>
          <w:sz w:val="18"/>
          <w:szCs w:val="18"/>
          <w:color w:val="auto"/>
        </w:rPr>
        <w:t xml:space="preserve">Der Vergütungsausschuss (der </w:t>
      </w:r>
      <w:r>
        <w:rPr>
          <w:rFonts w:ascii="Arial" w:cs="Arial" w:eastAsia="Arial" w:hAnsi="Arial"/>
          <w:sz w:val="18"/>
          <w:szCs w:val="18"/>
          <w:b w:val="1"/>
          <w:bCs w:val="1"/>
          <w:color w:val="auto"/>
        </w:rPr>
        <w:t>Vergütungsausschuss</w:t>
      </w:r>
      <w:r>
        <w:rPr>
          <w:rFonts w:ascii="Arial" w:cs="Arial" w:eastAsia="Arial" w:hAnsi="Arial"/>
          <w:sz w:val="18"/>
          <w:szCs w:val="18"/>
          <w:color w:val="auto"/>
        </w:rPr>
        <w:t>) ist der</w:t>
      </w:r>
      <w:r>
        <w:rPr>
          <w:rFonts w:ascii="Arial" w:cs="Arial" w:eastAsia="Arial" w:hAnsi="Arial"/>
          <w:sz w:val="18"/>
          <w:szCs w:val="18"/>
          <w:b w:val="1"/>
          <w:bCs w:val="1"/>
          <w:color w:val="auto"/>
        </w:rPr>
        <w:t xml:space="preserve"> </w:t>
      </w:r>
      <w:r>
        <w:rPr>
          <w:rFonts w:ascii="Arial" w:cs="Arial" w:eastAsia="Arial" w:hAnsi="Arial"/>
          <w:sz w:val="18"/>
          <w:szCs w:val="18"/>
          <w:color w:val="auto"/>
        </w:rPr>
        <w:t>Ausschuss des Verwaltungsrates, der für Vergütungsfragen zuständig ist. Er besteht aus mindestens drei (3) Mitgliedern des Verwaltungsrates. Die Mitglieder des Vergütungsausschusses müssen die anwendbaren Anforderungen an Unabhängigkeit, Erfahrung oder andere regulatorische oder börsenspezifische Anforderungen erfüllen.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48" w:lineRule="auto"/>
        <w:rPr>
          <w:sz w:val="20"/>
          <w:szCs w:val="20"/>
          <w:color w:val="auto"/>
        </w:rPr>
      </w:pPr>
      <w:r>
        <w:rPr>
          <w:rFonts w:ascii="Arial" w:cs="Arial" w:eastAsia="Arial" w:hAnsi="Arial"/>
          <w:sz w:val="14"/>
          <w:szCs w:val="14"/>
          <w:color w:val="auto"/>
        </w:rPr>
        <w:t>Term of office, 1 Organization of the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Compensation</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Committee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i w:val="1"/>
          <w:iCs w:val="1"/>
          <w:color w:val="auto"/>
        </w:rPr>
        <w:t>B</w:t>
      </w:r>
      <w:r>
        <w:rPr>
          <w:rFonts w:ascii="Arial" w:cs="Arial" w:eastAsia="Arial" w:hAnsi="Arial"/>
          <w:sz w:val="26"/>
          <w:szCs w:val="26"/>
          <w:i w:val="1"/>
          <w:iCs w:val="1"/>
          <w:color w:val="auto"/>
          <w:vertAlign w:val="superscript"/>
        </w:rPr>
        <w:t>bis</w:t>
      </w:r>
      <w:r>
        <w:rPr>
          <w:rFonts w:ascii="Arial" w:cs="Arial" w:eastAsia="Arial" w:hAnsi="Arial"/>
          <w:sz w:val="18"/>
          <w:szCs w:val="18"/>
          <w:i w:val="1"/>
          <w:iCs w:val="1"/>
          <w:color w:val="auto"/>
        </w:rPr>
        <w:t>. Compensation Committee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28a</w:t>
      </w:r>
    </w:p>
    <w:p>
      <w:pPr>
        <w:spacing w:after="0" w:line="225"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 xml:space="preserve">The compensation committee (the </w:t>
      </w:r>
      <w:r>
        <w:rPr>
          <w:rFonts w:ascii="Arial" w:cs="Arial" w:eastAsia="Arial" w:hAnsi="Arial"/>
          <w:sz w:val="18"/>
          <w:szCs w:val="18"/>
          <w:b w:val="1"/>
          <w:bCs w:val="1"/>
          <w:color w:val="auto"/>
        </w:rPr>
        <w:t>Compensation Committee</w:t>
      </w:r>
      <w:r>
        <w:rPr>
          <w:rFonts w:ascii="Arial" w:cs="Arial" w:eastAsia="Arial" w:hAnsi="Arial"/>
          <w:sz w:val="18"/>
          <w:szCs w:val="18"/>
          <w:color w:val="auto"/>
        </w:rPr>
        <w:t>)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the committee of the Board of Directors responsible for compensation matters. It shall consist of no fewer than three (3) members of the Board of Directors. The members of the Compensation Committee shall meet any applicable independence, experience or other regulatory or stock exchange requirements.</w:t>
      </w:r>
    </w:p>
    <w:p>
      <w:pPr>
        <w:spacing w:after="0" w:line="280" w:lineRule="exact"/>
        <w:rPr>
          <w:sz w:val="20"/>
          <w:szCs w:val="20"/>
          <w:color w:val="auto"/>
        </w:rPr>
      </w:pPr>
    </w:p>
    <w:p>
      <w:pPr>
        <w:sectPr>
          <w:pgSz w:w="11900" w:h="16838" w:orient="portrait"/>
          <w:cols w:equalWidth="0" w:num="4">
            <w:col w:w="1000" w:space="139"/>
            <w:col w:w="3521" w:space="140"/>
            <w:col w:w="1140" w:space="200"/>
            <w:col w:w="3200"/>
          </w:cols>
          <w:pgMar w:left="1220" w:top="670" w:right="1339" w:bottom="1440" w:gutter="0" w:footer="0" w:header="0"/>
          <w:type w:val="continuous"/>
        </w:sectPr>
      </w:pPr>
    </w:p>
    <w:p>
      <w:pPr>
        <w:ind w:left="1400" w:right="484" w:hanging="261"/>
        <w:spacing w:after="0" w:line="226" w:lineRule="auto"/>
        <w:tabs>
          <w:tab w:leader="none" w:pos="1400" w:val="left"/>
        </w:tabs>
        <w:numPr>
          <w:ilvl w:val="0"/>
          <w:numId w:val="129"/>
        </w:numPr>
        <w:rPr>
          <w:rFonts w:ascii="Arial" w:cs="Arial" w:eastAsia="Arial" w:hAnsi="Arial"/>
          <w:sz w:val="29"/>
          <w:szCs w:val="29"/>
          <w:color w:val="auto"/>
          <w:vertAlign w:val="superscript"/>
        </w:rPr>
      </w:pPr>
      <w:r>
        <w:rPr>
          <w:rFonts w:ascii="Arial" w:cs="Arial" w:eastAsia="Arial" w:hAnsi="Arial"/>
          <w:sz w:val="18"/>
          <w:szCs w:val="18"/>
          <w:color w:val="auto"/>
        </w:rPr>
        <w:t>Die Aktionäre wählen die Mitglieder des Vergütungsausschusses einzeln an einer Generalversammlung für eine Amtsdauer bis zum Abschluss der nächsten ordentlichen Generalversammlung. Wiederwahl ist möglich. Ist der Vergütungsausschuss nicht vollständig besetzt, ernennt der Verwaltungsrat aus seiner Mitte Ersatzmitglieder für eine Amtsdauer bis zum Abschluss der nächsten ordentlichen Generalversammlung.</w:t>
      </w:r>
    </w:p>
    <w:p>
      <w:pPr>
        <w:spacing w:after="0" w:line="228" w:lineRule="exact"/>
        <w:rPr>
          <w:sz w:val="20"/>
          <w:szCs w:val="20"/>
          <w:color w:val="auto"/>
        </w:rPr>
      </w:pPr>
    </w:p>
    <w:p>
      <w:pPr>
        <w:ind w:left="1400" w:right="564" w:hanging="261"/>
        <w:spacing w:after="0" w:line="235" w:lineRule="auto"/>
        <w:tabs>
          <w:tab w:leader="none" w:pos="1400" w:val="left"/>
        </w:tabs>
        <w:numPr>
          <w:ilvl w:val="0"/>
          <w:numId w:val="130"/>
        </w:numPr>
        <w:rPr>
          <w:rFonts w:ascii="Arial" w:cs="Arial" w:eastAsia="Arial" w:hAnsi="Arial"/>
          <w:sz w:val="29"/>
          <w:szCs w:val="29"/>
          <w:color w:val="auto"/>
          <w:vertAlign w:val="subscript"/>
        </w:rPr>
      </w:pPr>
      <w:r>
        <w:rPr>
          <w:rFonts w:ascii="Arial" w:cs="Arial" w:eastAsia="Arial" w:hAnsi="Arial"/>
          <w:sz w:val="18"/>
          <w:szCs w:val="18"/>
          <w:color w:val="auto"/>
        </w:rPr>
        <w:t>Der Verwaltungsrat ernennt den Vorsitzenden des Vergütungsausschusses. Unter Vorbehalt der Bestimmungen des Gesetzes und dieser Statuten regelt der Verwaltungsrat die Einzelheiten der Organisation des Vergütungsausschusses in einem Reglement oder einer Satzung.</w:t>
      </w:r>
    </w:p>
    <w:p>
      <w:pPr>
        <w:spacing w:after="0" w:line="36" w:lineRule="exact"/>
        <w:rPr>
          <w:rFonts w:ascii="Arial" w:cs="Arial" w:eastAsia="Arial" w:hAnsi="Arial"/>
          <w:sz w:val="29"/>
          <w:szCs w:val="29"/>
          <w:color w:val="auto"/>
          <w:vertAlign w:val="subscript"/>
        </w:rPr>
      </w:pPr>
    </w:p>
    <w:p>
      <w:pPr>
        <w:ind w:left="1400"/>
        <w:spacing w:after="0"/>
        <w:rPr>
          <w:rFonts w:ascii="Arial" w:cs="Arial" w:eastAsia="Arial" w:hAnsi="Arial"/>
          <w:sz w:val="29"/>
          <w:szCs w:val="29"/>
          <w:color w:val="auto"/>
          <w:vertAlign w:val="subscript"/>
        </w:rPr>
      </w:pPr>
      <w:r>
        <w:rPr>
          <w:rFonts w:ascii="Arial" w:cs="Arial" w:eastAsia="Arial" w:hAnsi="Arial"/>
          <w:sz w:val="18"/>
          <w:szCs w:val="18"/>
          <w:b w:val="1"/>
          <w:bCs w:val="1"/>
          <w:color w:val="auto"/>
        </w:rPr>
        <w:t>Artikel 28b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463550</wp:posOffset>
            </wp:positionV>
            <wp:extent cx="629221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276" w:right="20" w:hanging="276"/>
        <w:spacing w:after="0" w:line="227" w:lineRule="auto"/>
        <w:tabs>
          <w:tab w:leader="none" w:pos="276" w:val="left"/>
        </w:tabs>
        <w:numPr>
          <w:ilvl w:val="0"/>
          <w:numId w:val="131"/>
        </w:numPr>
        <w:rPr>
          <w:rFonts w:ascii="Arial" w:cs="Arial" w:eastAsia="Arial" w:hAnsi="Arial"/>
          <w:sz w:val="29"/>
          <w:szCs w:val="29"/>
          <w:color w:val="auto"/>
          <w:vertAlign w:val="superscript"/>
        </w:rPr>
      </w:pPr>
      <w:r>
        <w:rPr>
          <w:rFonts w:ascii="Arial" w:cs="Arial" w:eastAsia="Arial" w:hAnsi="Arial"/>
          <w:sz w:val="18"/>
          <w:szCs w:val="18"/>
          <w:color w:val="auto"/>
        </w:rPr>
        <w:t>The shareholders shall elect the members of the Compensation Committee individually at a General Meeting of Shareholders for a term of office extending until completion of the next Annual General Meeting. Re-election is possible. If there are vacancies on the Compensation Committee, the Board of Directors shall appoint from among its members substitutes for a term of office extending until completion of the next Annual General Meeting.</w:t>
      </w:r>
    </w:p>
    <w:p>
      <w:pPr>
        <w:spacing w:after="0" w:line="76" w:lineRule="exact"/>
        <w:rPr>
          <w:sz w:val="20"/>
          <w:szCs w:val="20"/>
          <w:color w:val="auto"/>
        </w:rPr>
      </w:pPr>
    </w:p>
    <w:p>
      <w:pPr>
        <w:ind w:left="276" w:right="20" w:hanging="276"/>
        <w:spacing w:after="0" w:line="233" w:lineRule="auto"/>
        <w:tabs>
          <w:tab w:leader="none" w:pos="276" w:val="left"/>
        </w:tabs>
        <w:numPr>
          <w:ilvl w:val="0"/>
          <w:numId w:val="132"/>
        </w:numPr>
        <w:rPr>
          <w:rFonts w:ascii="Arial" w:cs="Arial" w:eastAsia="Arial" w:hAnsi="Arial"/>
          <w:sz w:val="28"/>
          <w:szCs w:val="28"/>
          <w:color w:val="auto"/>
          <w:vertAlign w:val="superscript"/>
        </w:rPr>
      </w:pPr>
      <w:r>
        <w:rPr>
          <w:rFonts w:ascii="Arial" w:cs="Arial" w:eastAsia="Arial" w:hAnsi="Arial"/>
          <w:sz w:val="17"/>
          <w:szCs w:val="17"/>
          <w:color w:val="auto"/>
        </w:rPr>
        <w:t>The Board of Directors shall elect the Chair of the Compensation Committee. Subject to applicable law and these Articles of Association, the Board of Directors shall establish the particulars of the organization of the Compensation Committee in regulations or in a charter.</w:t>
      </w:r>
    </w:p>
    <w:p>
      <w:pPr>
        <w:spacing w:after="0" w:line="200" w:lineRule="exact"/>
        <w:rPr>
          <w:rFonts w:ascii="Arial" w:cs="Arial" w:eastAsia="Arial" w:hAnsi="Arial"/>
          <w:sz w:val="28"/>
          <w:szCs w:val="28"/>
          <w:color w:val="auto"/>
          <w:vertAlign w:val="superscript"/>
        </w:rPr>
      </w:pPr>
    </w:p>
    <w:p>
      <w:pPr>
        <w:spacing w:after="0" w:line="279" w:lineRule="exact"/>
        <w:rPr>
          <w:rFonts w:ascii="Arial" w:cs="Arial" w:eastAsia="Arial" w:hAnsi="Arial"/>
          <w:sz w:val="28"/>
          <w:szCs w:val="28"/>
          <w:color w:val="auto"/>
          <w:vertAlign w:val="superscript"/>
        </w:rPr>
      </w:pPr>
    </w:p>
    <w:p>
      <w:pPr>
        <w:ind w:left="276"/>
        <w:spacing w:after="0"/>
        <w:rPr>
          <w:rFonts w:ascii="Arial" w:cs="Arial" w:eastAsia="Arial" w:hAnsi="Arial"/>
          <w:sz w:val="28"/>
          <w:szCs w:val="28"/>
          <w:color w:val="auto"/>
          <w:vertAlign w:val="superscript"/>
        </w:rPr>
      </w:pPr>
      <w:r>
        <w:rPr>
          <w:rFonts w:ascii="Arial" w:cs="Arial" w:eastAsia="Arial" w:hAnsi="Arial"/>
          <w:sz w:val="18"/>
          <w:szCs w:val="18"/>
          <w:b w:val="1"/>
          <w:bCs w:val="1"/>
          <w:color w:val="auto"/>
        </w:rPr>
        <w:t>Article 28b</w:t>
      </w:r>
    </w:p>
    <w:p>
      <w:pPr>
        <w:sectPr>
          <w:pgSz w:w="11900" w:h="16838" w:orient="portrait"/>
          <w:cols w:equalWidth="0" w:num="2">
            <w:col w:w="5144" w:space="720"/>
            <w:col w:w="3476"/>
          </w:cols>
          <w:pgMar w:left="1220" w:top="670" w:right="1339" w:bottom="1440" w:gutter="0" w:footer="0" w:header="0"/>
          <w:type w:val="continuous"/>
        </w:sectPr>
      </w:pPr>
    </w:p>
    <w:bookmarkStart w:id="35" w:name="page36"/>
    <w:bookmarkEnd w:id="3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tabs>
          <w:tab w:leader="none" w:pos="900" w:val="left"/>
        </w:tabs>
        <w:rPr>
          <w:sz w:val="20"/>
          <w:szCs w:val="20"/>
          <w:color w:val="auto"/>
        </w:rPr>
      </w:pPr>
      <w:r>
        <w:rPr>
          <w:rFonts w:ascii="Arial" w:cs="Arial" w:eastAsia="Arial" w:hAnsi="Arial"/>
          <w:sz w:val="14"/>
          <w:szCs w:val="14"/>
          <w:color w:val="auto"/>
        </w:rPr>
        <w:t>Befugnisse</w:t>
        <w:tab/>
        <w:t>1</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und</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Pflichten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7" w:right="20"/>
        <w:spacing w:after="0" w:line="259" w:lineRule="auto"/>
        <w:rPr>
          <w:sz w:val="20"/>
          <w:szCs w:val="20"/>
          <w:color w:val="auto"/>
        </w:rPr>
      </w:pPr>
      <w:r>
        <w:rPr>
          <w:rFonts w:ascii="Arial" w:cs="Arial" w:eastAsia="Arial" w:hAnsi="Arial"/>
          <w:sz w:val="17"/>
          <w:szCs w:val="17"/>
          <w:color w:val="auto"/>
        </w:rPr>
        <w:t>Der Vergütungsausschuss hat unter anderem die Aufgabe, den Verwaltungsrat</w:t>
      </w:r>
    </w:p>
    <w:p>
      <w:pPr>
        <w:spacing w:after="0" w:line="1" w:lineRule="exact"/>
        <w:rPr>
          <w:sz w:val="20"/>
          <w:szCs w:val="20"/>
          <w:color w:val="auto"/>
        </w:rPr>
      </w:pPr>
    </w:p>
    <w:p>
      <w:pPr>
        <w:ind w:left="7" w:hanging="7"/>
        <w:spacing w:after="0" w:line="236" w:lineRule="auto"/>
        <w:tabs>
          <w:tab w:leader="none" w:pos="277" w:val="left"/>
        </w:tabs>
        <w:numPr>
          <w:ilvl w:val="0"/>
          <w:numId w:val="133"/>
        </w:numPr>
        <w:rPr>
          <w:rFonts w:ascii="Arial" w:cs="Arial" w:eastAsia="Arial" w:hAnsi="Arial"/>
          <w:sz w:val="18"/>
          <w:szCs w:val="18"/>
          <w:color w:val="auto"/>
        </w:rPr>
      </w:pPr>
      <w:r>
        <w:rPr>
          <w:rFonts w:ascii="Arial" w:cs="Arial" w:eastAsia="Arial" w:hAnsi="Arial"/>
          <w:sz w:val="18"/>
          <w:szCs w:val="18"/>
          <w:color w:val="auto"/>
        </w:rPr>
        <w:t>bei der Erarbeitung eines angemessenen Vergütungs- und Leistungsprogrammes für die Mitglieder des Verwaltungsrates und der Geschäftsleitung und (2) bei der Vorbereitung der Anträge des Verwaltungsrates an die Generalversammlung betreffend die Vergütung des Verwaltungsrates und der Geschäftsleitung zu unterstützen. Der Vergütungsausschuss übernimmt weiter andere mit der Vergütung in Zusammenhang stehende Aufgaben, wie sie von Zeit zu Zeit vom Verwaltungsrat an ihn delegiert werden.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- 28 -</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20"/>
        <w:spacing w:after="0" w:line="285" w:lineRule="auto"/>
        <w:rPr>
          <w:sz w:val="20"/>
          <w:szCs w:val="20"/>
          <w:color w:val="auto"/>
        </w:rPr>
      </w:pPr>
      <w:r>
        <w:rPr>
          <w:rFonts w:ascii="Arial" w:cs="Arial" w:eastAsia="Arial" w:hAnsi="Arial"/>
          <w:sz w:val="14"/>
          <w:szCs w:val="14"/>
          <w:color w:val="auto"/>
        </w:rPr>
        <w:t>Powers and Duties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73" w:right="60" w:hanging="273"/>
        <w:spacing w:after="0" w:line="216" w:lineRule="auto"/>
        <w:tabs>
          <w:tab w:leader="none" w:pos="273" w:val="left"/>
        </w:tabs>
        <w:numPr>
          <w:ilvl w:val="0"/>
          <w:numId w:val="134"/>
        </w:numPr>
        <w:rPr>
          <w:rFonts w:ascii="Arial" w:cs="Arial" w:eastAsia="Arial" w:hAnsi="Arial"/>
          <w:sz w:val="29"/>
          <w:szCs w:val="29"/>
          <w:color w:val="auto"/>
          <w:vertAlign w:val="superscript"/>
        </w:rPr>
      </w:pPr>
      <w:r>
        <w:rPr>
          <w:rFonts w:ascii="Arial" w:cs="Arial" w:eastAsia="Arial" w:hAnsi="Arial"/>
          <w:sz w:val="18"/>
          <w:szCs w:val="18"/>
          <w:color w:val="auto"/>
        </w:rPr>
        <w:t>The Compensation Committee shall, among other things, assist the Board of Directors in (1) developing an appropriate compensation and benefit program for the members of the Board of Directors and the Executive Management Team and</w:t>
      </w:r>
    </w:p>
    <w:p>
      <w:pPr>
        <w:spacing w:after="0" w:line="1" w:lineRule="exact"/>
        <w:rPr>
          <w:rFonts w:ascii="Arial" w:cs="Arial" w:eastAsia="Arial" w:hAnsi="Arial"/>
          <w:sz w:val="29"/>
          <w:szCs w:val="29"/>
          <w:color w:val="auto"/>
          <w:vertAlign w:val="superscript"/>
        </w:rPr>
      </w:pPr>
    </w:p>
    <w:p>
      <w:pPr>
        <w:ind w:left="273" w:right="40"/>
        <w:spacing w:after="0" w:line="237" w:lineRule="auto"/>
        <w:rPr>
          <w:rFonts w:ascii="Arial" w:cs="Arial" w:eastAsia="Arial" w:hAnsi="Arial"/>
          <w:sz w:val="29"/>
          <w:szCs w:val="29"/>
          <w:color w:val="auto"/>
          <w:vertAlign w:val="superscript"/>
        </w:rPr>
      </w:pPr>
      <w:r>
        <w:rPr>
          <w:rFonts w:ascii="Arial" w:cs="Arial" w:eastAsia="Arial" w:hAnsi="Arial"/>
          <w:sz w:val="18"/>
          <w:szCs w:val="18"/>
          <w:color w:val="auto"/>
        </w:rPr>
        <w:t>(2) preparing the proposals of the Board of Directors to the General Meeting of Shareholders regarding the compensation of the Board of Directors and the Executive Management Team. The Compensation Committee shall further perform such other compensation-related duties as delegated to it by the Board of Directors from time to time.</w:t>
      </w:r>
    </w:p>
    <w:p>
      <w:pPr>
        <w:spacing w:after="0" w:line="477" w:lineRule="exact"/>
        <w:rPr>
          <w:sz w:val="20"/>
          <w:szCs w:val="20"/>
          <w:color w:val="auto"/>
        </w:rPr>
      </w:pPr>
    </w:p>
    <w:p>
      <w:pPr>
        <w:sectPr>
          <w:pgSz w:w="11900" w:h="16838" w:orient="portrait"/>
          <w:cols w:equalWidth="0" w:num="4">
            <w:col w:w="1000" w:space="193"/>
            <w:col w:w="3387" w:space="80"/>
            <w:col w:w="800" w:space="147"/>
            <w:col w:w="3733"/>
          </w:cols>
          <w:pgMar w:left="1220" w:top="670" w:right="1339" w:bottom="1440" w:gutter="0" w:footer="0" w:header="0"/>
        </w:sectPr>
      </w:pPr>
    </w:p>
    <w:p>
      <w:pPr>
        <w:ind w:left="1200" w:right="267" w:hanging="277"/>
        <w:spacing w:after="0" w:line="227" w:lineRule="auto"/>
        <w:tabs>
          <w:tab w:leader="none" w:pos="1200" w:val="left"/>
        </w:tabs>
        <w:numPr>
          <w:ilvl w:val="0"/>
          <w:numId w:val="135"/>
        </w:numPr>
        <w:rPr>
          <w:rFonts w:ascii="Arial" w:cs="Arial" w:eastAsia="Arial" w:hAnsi="Arial"/>
          <w:sz w:val="29"/>
          <w:szCs w:val="29"/>
          <w:color w:val="auto"/>
          <w:vertAlign w:val="superscript"/>
        </w:rPr>
      </w:pPr>
      <w:r>
        <w:rPr>
          <w:rFonts w:ascii="Arial" w:cs="Arial" w:eastAsia="Arial" w:hAnsi="Arial"/>
          <w:sz w:val="18"/>
          <w:szCs w:val="18"/>
          <w:color w:val="auto"/>
        </w:rPr>
        <w:t>Der Verwaltungsrat regelt die Einzelheiten der Befugnisse und Pflichten des Vergütungsausschusses in einem Reglement oder einer Satzung. Insbesondere legt der Verwaltungsrat fest, inwieweit der Vergütungsausschuss Leistungsziele, Zielwerte und die individuelle Vergütung der Mitglieder des Verwaltungsrates und der Geschäftsleitung selbst bestimmt, und inwieweit der Vergütungsausschuss dem Verwaltungsrat Vorschläge hierzu zur definitiven Beschlussfassung unterbreitet.</w:t>
      </w:r>
    </w:p>
    <w:p>
      <w:pPr>
        <w:spacing w:after="0" w:line="224" w:lineRule="exact"/>
        <w:rPr>
          <w:sz w:val="20"/>
          <w:szCs w:val="20"/>
          <w:color w:val="auto"/>
        </w:rPr>
      </w:pPr>
    </w:p>
    <w:p>
      <w:pPr>
        <w:ind w:left="1200" w:right="987" w:hanging="277"/>
        <w:spacing w:after="0" w:line="257" w:lineRule="auto"/>
        <w:tabs>
          <w:tab w:leader="none" w:pos="1200" w:val="left"/>
        </w:tabs>
        <w:numPr>
          <w:ilvl w:val="0"/>
          <w:numId w:val="136"/>
        </w:numPr>
        <w:rPr>
          <w:rFonts w:ascii="Arial" w:cs="Arial" w:eastAsia="Arial" w:hAnsi="Arial"/>
          <w:sz w:val="29"/>
          <w:szCs w:val="29"/>
          <w:color w:val="auto"/>
          <w:vertAlign w:val="subscript"/>
        </w:rPr>
      </w:pPr>
      <w:r>
        <w:rPr>
          <w:rFonts w:ascii="Arial" w:cs="Arial" w:eastAsia="Arial" w:hAnsi="Arial"/>
          <w:sz w:val="18"/>
          <w:szCs w:val="18"/>
          <w:color w:val="auto"/>
        </w:rPr>
        <w:t xml:space="preserve">Der Verwaltungsrat kann weitere Befugnisse und Pflichten an den Vergütungsausschuss delegieren. </w:t>
      </w:r>
      <w:r>
        <w:rPr>
          <w:rFonts w:ascii="Arial" w:cs="Arial" w:eastAsia="Arial" w:hAnsi="Arial"/>
          <w:sz w:val="18"/>
          <w:szCs w:val="18"/>
          <w:i w:val="1"/>
          <w:iCs w:val="1"/>
          <w:color w:val="auto"/>
        </w:rPr>
        <w:t>C. Revisionsstelle</w:t>
      </w:r>
    </w:p>
    <w:p>
      <w:pPr>
        <w:spacing w:after="0" w:line="179" w:lineRule="exact"/>
        <w:rPr>
          <w:sz w:val="20"/>
          <w:szCs w:val="20"/>
          <w:color w:val="auto"/>
        </w:rPr>
      </w:pPr>
    </w:p>
    <w:p>
      <w:pPr>
        <w:ind w:left="1200"/>
        <w:spacing w:after="0"/>
        <w:rPr>
          <w:sz w:val="20"/>
          <w:szCs w:val="20"/>
          <w:color w:val="auto"/>
        </w:rPr>
      </w:pPr>
      <w:r>
        <w:rPr>
          <w:rFonts w:ascii="Arial" w:cs="Arial" w:eastAsia="Arial" w:hAnsi="Arial"/>
          <w:sz w:val="18"/>
          <w:szCs w:val="18"/>
          <w:b w:val="1"/>
          <w:bCs w:val="1"/>
          <w:color w:val="auto"/>
        </w:rPr>
        <w:t>Artikel 29</w:t>
      </w:r>
    </w:p>
    <w:p>
      <w:pPr>
        <w:spacing w:after="0" w:line="20" w:lineRule="exact"/>
        <w:rPr>
          <w:sz w:val="20"/>
          <w:szCs w:val="20"/>
          <w:color w:val="auto"/>
        </w:rPr>
      </w:pPr>
      <w:r>
        <w:rPr>
          <w:sz w:val="20"/>
          <w:szCs w:val="20"/>
          <w:color w:val="auto"/>
        </w:rPr>
        <w:br w:type="column"/>
      </w:r>
    </w:p>
    <w:p>
      <w:pPr>
        <w:ind w:left="273" w:right="40" w:hanging="273"/>
        <w:spacing w:after="0" w:line="227" w:lineRule="auto"/>
        <w:tabs>
          <w:tab w:leader="none" w:pos="273" w:val="left"/>
        </w:tabs>
        <w:numPr>
          <w:ilvl w:val="0"/>
          <w:numId w:val="137"/>
        </w:numPr>
        <w:rPr>
          <w:rFonts w:ascii="Arial" w:cs="Arial" w:eastAsia="Arial" w:hAnsi="Arial"/>
          <w:sz w:val="29"/>
          <w:szCs w:val="29"/>
          <w:color w:val="auto"/>
          <w:vertAlign w:val="superscript"/>
        </w:rPr>
      </w:pPr>
      <w:r>
        <w:rPr>
          <w:rFonts w:ascii="Arial" w:cs="Arial" w:eastAsia="Arial" w:hAnsi="Arial"/>
          <w:sz w:val="18"/>
          <w:szCs w:val="18"/>
          <w:color w:val="auto"/>
        </w:rPr>
        <w:t>The Board of Directors shall establish the particulars of the powers and duties of the Compensation Committee in regulations or in a charter. In particular, the Board of Directors shall establish to what extent the Compensation Committee shall determine performance objectives, target values and the individual compensation of the members of the Board of Directors and the Executive Management Team itself, and to what extent the Compensation Committee shall submit proposals in relation thereto to the Board of Directors for its final determination.</w:t>
      </w:r>
    </w:p>
    <w:p>
      <w:pPr>
        <w:spacing w:after="0" w:line="83" w:lineRule="exact"/>
        <w:rPr>
          <w:sz w:val="20"/>
          <w:szCs w:val="20"/>
          <w:color w:val="auto"/>
        </w:rPr>
      </w:pPr>
    </w:p>
    <w:p>
      <w:pPr>
        <w:ind w:left="273" w:right="520" w:hanging="273"/>
        <w:spacing w:after="0" w:line="216" w:lineRule="auto"/>
        <w:tabs>
          <w:tab w:leader="none" w:pos="273" w:val="left"/>
        </w:tabs>
        <w:numPr>
          <w:ilvl w:val="0"/>
          <w:numId w:val="138"/>
        </w:numPr>
        <w:rPr>
          <w:rFonts w:ascii="Arial" w:cs="Arial" w:eastAsia="Arial" w:hAnsi="Arial"/>
          <w:sz w:val="28"/>
          <w:szCs w:val="28"/>
          <w:color w:val="auto"/>
          <w:vertAlign w:val="superscript"/>
        </w:rPr>
      </w:pPr>
      <w:r>
        <w:rPr>
          <w:rFonts w:ascii="Arial" w:cs="Arial" w:eastAsia="Arial" w:hAnsi="Arial"/>
          <w:sz w:val="17"/>
          <w:szCs w:val="17"/>
          <w:color w:val="auto"/>
        </w:rPr>
        <w:t>The Board of Directors may delegate further authorities and duties to the Compensation Committee.</w:t>
      </w:r>
    </w:p>
    <w:p>
      <w:pPr>
        <w:spacing w:after="0" w:line="75" w:lineRule="exact"/>
        <w:rPr>
          <w:rFonts w:ascii="Arial" w:cs="Arial" w:eastAsia="Arial" w:hAnsi="Arial"/>
          <w:sz w:val="28"/>
          <w:szCs w:val="28"/>
          <w:color w:val="auto"/>
          <w:vertAlign w:val="superscript"/>
        </w:rPr>
      </w:pPr>
    </w:p>
    <w:p>
      <w:pPr>
        <w:ind w:left="273"/>
        <w:spacing w:after="0"/>
        <w:rPr>
          <w:rFonts w:ascii="Arial" w:cs="Arial" w:eastAsia="Arial" w:hAnsi="Arial"/>
          <w:sz w:val="28"/>
          <w:szCs w:val="28"/>
          <w:color w:val="auto"/>
          <w:vertAlign w:val="superscript"/>
        </w:rPr>
      </w:pPr>
      <w:r>
        <w:rPr>
          <w:rFonts w:ascii="Arial" w:cs="Arial" w:eastAsia="Arial" w:hAnsi="Arial"/>
          <w:sz w:val="18"/>
          <w:szCs w:val="18"/>
          <w:i w:val="1"/>
          <w:iCs w:val="1"/>
          <w:color w:val="auto"/>
        </w:rPr>
        <w:t>C. Auditor</w:t>
      </w:r>
    </w:p>
    <w:p>
      <w:pPr>
        <w:spacing w:after="0" w:line="223" w:lineRule="exact"/>
        <w:rPr>
          <w:sz w:val="20"/>
          <w:szCs w:val="20"/>
          <w:color w:val="auto"/>
        </w:rPr>
      </w:pPr>
    </w:p>
    <w:p>
      <w:pPr>
        <w:ind w:left="273"/>
        <w:spacing w:after="0"/>
        <w:rPr>
          <w:sz w:val="20"/>
          <w:szCs w:val="20"/>
          <w:color w:val="auto"/>
        </w:rPr>
      </w:pPr>
      <w:r>
        <w:rPr>
          <w:rFonts w:ascii="Arial" w:cs="Arial" w:eastAsia="Arial" w:hAnsi="Arial"/>
          <w:sz w:val="18"/>
          <w:szCs w:val="18"/>
          <w:b w:val="1"/>
          <w:bCs w:val="1"/>
          <w:color w:val="auto"/>
        </w:rPr>
        <w:t>Article 29</w:t>
      </w:r>
    </w:p>
    <w:p>
      <w:pPr>
        <w:spacing w:after="0" w:line="199" w:lineRule="exact"/>
        <w:rPr>
          <w:sz w:val="20"/>
          <w:szCs w:val="20"/>
          <w:color w:val="auto"/>
        </w:rPr>
      </w:pPr>
    </w:p>
    <w:p>
      <w:pPr>
        <w:sectPr>
          <w:pgSz w:w="11900" w:h="16838" w:orient="portrait"/>
          <w:cols w:equalWidth="0" w:num="2">
            <w:col w:w="4887" w:space="720"/>
            <w:col w:w="3733"/>
          </w:cols>
          <w:pgMar w:left="1220" w:top="670" w:right="1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100" w:type="dxa"/>
            <w:vAlign w:val="bottom"/>
          </w:tcPr>
          <w:p>
            <w:pPr>
              <w:spacing w:after="0"/>
              <w:rPr>
                <w:sz w:val="20"/>
                <w:szCs w:val="20"/>
                <w:color w:val="auto"/>
              </w:rPr>
            </w:pPr>
            <w:r>
              <w:rPr>
                <w:rFonts w:ascii="Arial" w:cs="Arial" w:eastAsia="Arial" w:hAnsi="Arial"/>
                <w:sz w:val="14"/>
                <w:szCs w:val="14"/>
                <w:color w:val="auto"/>
              </w:rPr>
              <w:t>Amtsdauer,   1</w:t>
            </w:r>
          </w:p>
        </w:tc>
        <w:tc>
          <w:tcPr>
            <w:tcW w:w="3520" w:type="dxa"/>
            <w:vAlign w:val="bottom"/>
          </w:tcPr>
          <w:p>
            <w:pPr>
              <w:ind w:left="100"/>
              <w:spacing w:after="0"/>
              <w:rPr>
                <w:sz w:val="20"/>
                <w:szCs w:val="20"/>
                <w:color w:val="auto"/>
              </w:rPr>
            </w:pPr>
            <w:r>
              <w:rPr>
                <w:rFonts w:ascii="Arial" w:cs="Arial" w:eastAsia="Arial" w:hAnsi="Arial"/>
                <w:sz w:val="18"/>
                <w:szCs w:val="18"/>
                <w:color w:val="auto"/>
              </w:rPr>
              <w:t>Die Revisionsstelle wird von der</w:t>
            </w:r>
          </w:p>
        </w:tc>
        <w:tc>
          <w:tcPr>
            <w:tcW w:w="0" w:type="dxa"/>
            <w:vAlign w:val="bottom"/>
          </w:tcPr>
          <w:p>
            <w:pPr>
              <w:spacing w:after="0"/>
              <w:rPr>
                <w:sz w:val="1"/>
                <w:szCs w:val="1"/>
                <w:color w:val="auto"/>
              </w:rPr>
            </w:pPr>
          </w:p>
        </w:tc>
      </w:tr>
      <w:tr>
        <w:trPr>
          <w:trHeight w:val="203"/>
        </w:trPr>
        <w:tc>
          <w:tcPr>
            <w:tcW w:w="1100" w:type="dxa"/>
            <w:vAlign w:val="bottom"/>
          </w:tcPr>
          <w:p>
            <w:pPr>
              <w:spacing w:after="0"/>
              <w:rPr>
                <w:sz w:val="20"/>
                <w:szCs w:val="20"/>
                <w:color w:val="auto"/>
              </w:rPr>
            </w:pPr>
            <w:r>
              <w:rPr>
                <w:rFonts w:ascii="Arial" w:cs="Arial" w:eastAsia="Arial" w:hAnsi="Arial"/>
                <w:sz w:val="14"/>
                <w:szCs w:val="14"/>
                <w:color w:val="auto"/>
              </w:rPr>
              <w:t>Befugnisse</w:t>
            </w:r>
          </w:p>
        </w:tc>
        <w:tc>
          <w:tcPr>
            <w:tcW w:w="3520" w:type="dxa"/>
            <w:vAlign w:val="bottom"/>
          </w:tcPr>
          <w:p>
            <w:pPr>
              <w:ind w:left="100"/>
              <w:spacing w:after="0" w:line="202" w:lineRule="exact"/>
              <w:rPr>
                <w:sz w:val="20"/>
                <w:szCs w:val="20"/>
                <w:color w:val="auto"/>
              </w:rPr>
            </w:pPr>
            <w:r>
              <w:rPr>
                <w:rFonts w:ascii="Arial" w:cs="Arial" w:eastAsia="Arial" w:hAnsi="Arial"/>
                <w:sz w:val="18"/>
                <w:szCs w:val="18"/>
                <w:color w:val="auto"/>
              </w:rPr>
              <w:t>Generalversammlung gewählt und es</w:t>
            </w:r>
          </w:p>
        </w:tc>
        <w:tc>
          <w:tcPr>
            <w:tcW w:w="0" w:type="dxa"/>
            <w:vAlign w:val="bottom"/>
          </w:tcPr>
          <w:p>
            <w:pPr>
              <w:spacing w:after="0"/>
              <w:rPr>
                <w:sz w:val="1"/>
                <w:szCs w:val="1"/>
                <w:color w:val="auto"/>
              </w:rPr>
            </w:pPr>
          </w:p>
        </w:tc>
      </w:tr>
      <w:tr>
        <w:trPr>
          <w:trHeight w:val="112"/>
        </w:trPr>
        <w:tc>
          <w:tcPr>
            <w:tcW w:w="1100" w:type="dxa"/>
            <w:vAlign w:val="bottom"/>
          </w:tcPr>
          <w:p>
            <w:pPr>
              <w:spacing w:after="0" w:line="113" w:lineRule="exact"/>
              <w:rPr>
                <w:sz w:val="20"/>
                <w:szCs w:val="20"/>
                <w:color w:val="auto"/>
              </w:rPr>
            </w:pPr>
            <w:r>
              <w:rPr>
                <w:rFonts w:ascii="Arial" w:cs="Arial" w:eastAsia="Arial" w:hAnsi="Arial"/>
                <w:sz w:val="13"/>
                <w:szCs w:val="13"/>
                <w:color w:val="auto"/>
              </w:rPr>
              <w:t>und</w:t>
            </w:r>
          </w:p>
        </w:tc>
        <w:tc>
          <w:tcPr>
            <w:tcW w:w="3520" w:type="dxa"/>
            <w:vAlign w:val="bottom"/>
            <w:vMerge w:val="restart"/>
          </w:tcPr>
          <w:p>
            <w:pPr>
              <w:ind w:left="100"/>
              <w:spacing w:after="0"/>
              <w:rPr>
                <w:sz w:val="20"/>
                <w:szCs w:val="20"/>
                <w:color w:val="auto"/>
              </w:rPr>
            </w:pPr>
            <w:r>
              <w:rPr>
                <w:rFonts w:ascii="Arial" w:cs="Arial" w:eastAsia="Arial" w:hAnsi="Arial"/>
                <w:sz w:val="18"/>
                <w:szCs w:val="18"/>
                <w:color w:val="auto"/>
                <w:w w:val="99"/>
              </w:rPr>
              <w:t>obliegen ihr die vom Gesetz zugewiesenen</w:t>
            </w:r>
          </w:p>
        </w:tc>
        <w:tc>
          <w:tcPr>
            <w:tcW w:w="0" w:type="dxa"/>
            <w:vAlign w:val="bottom"/>
          </w:tcPr>
          <w:p>
            <w:pPr>
              <w:spacing w:after="0"/>
              <w:rPr>
                <w:sz w:val="1"/>
                <w:szCs w:val="1"/>
                <w:color w:val="auto"/>
              </w:rPr>
            </w:pPr>
          </w:p>
        </w:tc>
      </w:tr>
      <w:tr>
        <w:trPr>
          <w:trHeight w:val="144"/>
        </w:trPr>
        <w:tc>
          <w:tcPr>
            <w:tcW w:w="1100" w:type="dxa"/>
            <w:vAlign w:val="bottom"/>
          </w:tcPr>
          <w:p>
            <w:pPr>
              <w:spacing w:after="0" w:line="145" w:lineRule="exact"/>
              <w:rPr>
                <w:sz w:val="20"/>
                <w:szCs w:val="20"/>
                <w:color w:val="auto"/>
              </w:rPr>
            </w:pPr>
            <w:r>
              <w:rPr>
                <w:rFonts w:ascii="Arial" w:cs="Arial" w:eastAsia="Arial" w:hAnsi="Arial"/>
                <w:sz w:val="14"/>
                <w:szCs w:val="14"/>
                <w:color w:val="auto"/>
              </w:rPr>
              <w:t>Pflichten</w:t>
            </w:r>
          </w:p>
        </w:tc>
        <w:tc>
          <w:tcPr>
            <w:tcW w:w="3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9"/>
        </w:trPr>
        <w:tc>
          <w:tcPr>
            <w:tcW w:w="1100" w:type="dxa"/>
            <w:vAlign w:val="bottom"/>
          </w:tcPr>
          <w:p>
            <w:pPr>
              <w:spacing w:after="0"/>
              <w:rPr>
                <w:sz w:val="20"/>
                <w:szCs w:val="20"/>
                <w:color w:val="auto"/>
              </w:rPr>
            </w:pPr>
          </w:p>
        </w:tc>
        <w:tc>
          <w:tcPr>
            <w:tcW w:w="3520" w:type="dxa"/>
            <w:vAlign w:val="bottom"/>
          </w:tcPr>
          <w:p>
            <w:pPr>
              <w:ind w:left="100"/>
              <w:spacing w:after="0"/>
              <w:rPr>
                <w:sz w:val="20"/>
                <w:szCs w:val="20"/>
                <w:color w:val="auto"/>
              </w:rPr>
            </w:pPr>
            <w:r>
              <w:rPr>
                <w:rFonts w:ascii="Arial" w:cs="Arial" w:eastAsia="Arial" w:hAnsi="Arial"/>
                <w:sz w:val="18"/>
                <w:szCs w:val="18"/>
                <w:color w:val="auto"/>
              </w:rPr>
              <w:t>Befugnisse und Pflichten.</w:t>
            </w:r>
          </w:p>
        </w:tc>
        <w:tc>
          <w:tcPr>
            <w:tcW w:w="0" w:type="dxa"/>
            <w:vAlign w:val="bottom"/>
          </w:tcPr>
          <w:p>
            <w:pPr>
              <w:spacing w:after="0"/>
              <w:rPr>
                <w:sz w:val="1"/>
                <w:szCs w:val="1"/>
                <w:color w:val="auto"/>
              </w:rPr>
            </w:pPr>
          </w:p>
        </w:tc>
      </w:tr>
      <w:tr>
        <w:trPr>
          <w:trHeight w:val="242"/>
        </w:trPr>
        <w:tc>
          <w:tcPr>
            <w:tcW w:w="1100" w:type="dxa"/>
            <w:vAlign w:val="bottom"/>
          </w:tcPr>
          <w:p>
            <w:pPr>
              <w:ind w:left="920"/>
              <w:spacing w:after="0"/>
              <w:rPr>
                <w:sz w:val="20"/>
                <w:szCs w:val="20"/>
                <w:color w:val="auto"/>
              </w:rPr>
            </w:pPr>
            <w:r>
              <w:rPr>
                <w:rFonts w:ascii="Arial" w:cs="Arial" w:eastAsia="Arial" w:hAnsi="Arial"/>
                <w:sz w:val="14"/>
                <w:szCs w:val="14"/>
                <w:color w:val="auto"/>
              </w:rPr>
              <w:t>2</w:t>
            </w:r>
          </w:p>
        </w:tc>
        <w:tc>
          <w:tcPr>
            <w:tcW w:w="3520" w:type="dxa"/>
            <w:vAlign w:val="bottom"/>
          </w:tcPr>
          <w:p>
            <w:pPr>
              <w:ind w:left="100"/>
              <w:spacing w:after="0"/>
              <w:rPr>
                <w:sz w:val="20"/>
                <w:szCs w:val="20"/>
                <w:color w:val="auto"/>
              </w:rPr>
            </w:pPr>
            <w:r>
              <w:rPr>
                <w:rFonts w:ascii="Arial" w:cs="Arial" w:eastAsia="Arial" w:hAnsi="Arial"/>
                <w:sz w:val="18"/>
                <w:szCs w:val="18"/>
                <w:color w:val="auto"/>
              </w:rPr>
              <w:t>Die Amtsdauer der Revisionsstelle beträgt</w:t>
            </w:r>
          </w:p>
        </w:tc>
        <w:tc>
          <w:tcPr>
            <w:tcW w:w="0" w:type="dxa"/>
            <w:vAlign w:val="bottom"/>
          </w:tcPr>
          <w:p>
            <w:pPr>
              <w:spacing w:after="0"/>
              <w:rPr>
                <w:sz w:val="1"/>
                <w:szCs w:val="1"/>
                <w:color w:val="auto"/>
              </w:rPr>
            </w:pPr>
          </w:p>
        </w:tc>
      </w:tr>
      <w:tr>
        <w:trPr>
          <w:trHeight w:val="203"/>
        </w:trPr>
        <w:tc>
          <w:tcPr>
            <w:tcW w:w="1100" w:type="dxa"/>
            <w:vAlign w:val="bottom"/>
          </w:tcPr>
          <w:p>
            <w:pPr>
              <w:spacing w:after="0"/>
              <w:rPr>
                <w:sz w:val="17"/>
                <w:szCs w:val="17"/>
                <w:color w:val="auto"/>
              </w:rPr>
            </w:pPr>
          </w:p>
        </w:tc>
        <w:tc>
          <w:tcPr>
            <w:tcW w:w="3520" w:type="dxa"/>
            <w:vAlign w:val="bottom"/>
          </w:tcPr>
          <w:p>
            <w:pPr>
              <w:ind w:left="100"/>
              <w:spacing w:after="0" w:line="202" w:lineRule="exact"/>
              <w:rPr>
                <w:sz w:val="20"/>
                <w:szCs w:val="20"/>
                <w:color w:val="auto"/>
              </w:rPr>
            </w:pPr>
            <w:r>
              <w:rPr>
                <w:rFonts w:ascii="Arial" w:cs="Arial" w:eastAsia="Arial" w:hAnsi="Arial"/>
                <w:sz w:val="18"/>
                <w:szCs w:val="18"/>
                <w:color w:val="auto"/>
              </w:rPr>
              <w:t>ein Jahr, beginnend am Tage der Wahl an</w:t>
            </w:r>
          </w:p>
        </w:tc>
        <w:tc>
          <w:tcPr>
            <w:tcW w:w="0" w:type="dxa"/>
            <w:vAlign w:val="bottom"/>
          </w:tcPr>
          <w:p>
            <w:pPr>
              <w:spacing w:after="0"/>
              <w:rPr>
                <w:sz w:val="1"/>
                <w:szCs w:val="1"/>
                <w:color w:val="auto"/>
              </w:rPr>
            </w:pPr>
          </w:p>
        </w:tc>
      </w:tr>
      <w:tr>
        <w:trPr>
          <w:trHeight w:val="203"/>
        </w:trPr>
        <w:tc>
          <w:tcPr>
            <w:tcW w:w="1100" w:type="dxa"/>
            <w:vAlign w:val="bottom"/>
          </w:tcPr>
          <w:p>
            <w:pPr>
              <w:spacing w:after="0"/>
              <w:rPr>
                <w:sz w:val="17"/>
                <w:szCs w:val="17"/>
                <w:color w:val="auto"/>
              </w:rPr>
            </w:pPr>
          </w:p>
        </w:tc>
        <w:tc>
          <w:tcPr>
            <w:tcW w:w="3520" w:type="dxa"/>
            <w:vAlign w:val="bottom"/>
          </w:tcPr>
          <w:p>
            <w:pPr>
              <w:ind w:left="100"/>
              <w:spacing w:after="0" w:line="202" w:lineRule="exact"/>
              <w:rPr>
                <w:sz w:val="20"/>
                <w:szCs w:val="20"/>
                <w:color w:val="auto"/>
              </w:rPr>
            </w:pPr>
            <w:r>
              <w:rPr>
                <w:rFonts w:ascii="Arial" w:cs="Arial" w:eastAsia="Arial" w:hAnsi="Arial"/>
                <w:sz w:val="18"/>
                <w:szCs w:val="18"/>
                <w:color w:val="auto"/>
              </w:rPr>
              <w:t>einer ordentlichen Generalversammlung</w:t>
            </w:r>
          </w:p>
        </w:tc>
        <w:tc>
          <w:tcPr>
            <w:tcW w:w="0" w:type="dxa"/>
            <w:vAlign w:val="bottom"/>
          </w:tcPr>
          <w:p>
            <w:pPr>
              <w:spacing w:after="0"/>
              <w:rPr>
                <w:sz w:val="1"/>
                <w:szCs w:val="1"/>
                <w:color w:val="auto"/>
              </w:rPr>
            </w:pPr>
          </w:p>
        </w:tc>
      </w:tr>
      <w:tr>
        <w:trPr>
          <w:trHeight w:val="203"/>
        </w:trPr>
        <w:tc>
          <w:tcPr>
            <w:tcW w:w="1100" w:type="dxa"/>
            <w:vAlign w:val="bottom"/>
          </w:tcPr>
          <w:p>
            <w:pPr>
              <w:spacing w:after="0"/>
              <w:rPr>
                <w:sz w:val="17"/>
                <w:szCs w:val="17"/>
                <w:color w:val="auto"/>
              </w:rPr>
            </w:pPr>
          </w:p>
        </w:tc>
        <w:tc>
          <w:tcPr>
            <w:tcW w:w="3520" w:type="dxa"/>
            <w:vAlign w:val="bottom"/>
          </w:tcPr>
          <w:p>
            <w:pPr>
              <w:ind w:left="100"/>
              <w:spacing w:after="0" w:line="202" w:lineRule="exact"/>
              <w:rPr>
                <w:sz w:val="20"/>
                <w:szCs w:val="20"/>
                <w:color w:val="auto"/>
              </w:rPr>
            </w:pPr>
            <w:r>
              <w:rPr>
                <w:rFonts w:ascii="Arial" w:cs="Arial" w:eastAsia="Arial" w:hAnsi="Arial"/>
                <w:sz w:val="18"/>
                <w:szCs w:val="18"/>
                <w:color w:val="auto"/>
              </w:rPr>
              <w:t>und endend am Tage der nächsten</w:t>
            </w:r>
          </w:p>
        </w:tc>
        <w:tc>
          <w:tcPr>
            <w:tcW w:w="0" w:type="dxa"/>
            <w:vAlign w:val="bottom"/>
          </w:tcPr>
          <w:p>
            <w:pPr>
              <w:spacing w:after="0"/>
              <w:rPr>
                <w:sz w:val="1"/>
                <w:szCs w:val="1"/>
                <w:color w:val="auto"/>
              </w:rPr>
            </w:pPr>
          </w:p>
        </w:tc>
      </w:tr>
      <w:tr>
        <w:trPr>
          <w:trHeight w:val="239"/>
        </w:trPr>
        <w:tc>
          <w:tcPr>
            <w:tcW w:w="1100" w:type="dxa"/>
            <w:vAlign w:val="bottom"/>
          </w:tcPr>
          <w:p>
            <w:pPr>
              <w:spacing w:after="0"/>
              <w:rPr>
                <w:sz w:val="20"/>
                <w:szCs w:val="20"/>
                <w:color w:val="auto"/>
              </w:rPr>
            </w:pPr>
          </w:p>
        </w:tc>
        <w:tc>
          <w:tcPr>
            <w:tcW w:w="3520" w:type="dxa"/>
            <w:vAlign w:val="bottom"/>
          </w:tcPr>
          <w:p>
            <w:pPr>
              <w:ind w:left="100"/>
              <w:spacing w:after="0"/>
              <w:rPr>
                <w:sz w:val="20"/>
                <w:szCs w:val="20"/>
                <w:color w:val="auto"/>
              </w:rPr>
            </w:pPr>
            <w:r>
              <w:rPr>
                <w:rFonts w:ascii="Arial" w:cs="Arial" w:eastAsia="Arial" w:hAnsi="Arial"/>
                <w:sz w:val="18"/>
                <w:szCs w:val="18"/>
                <w:color w:val="auto"/>
              </w:rPr>
              <w:t>ordentlichen Generalversammlung.</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line="263" w:lineRule="auto"/>
        <w:rPr>
          <w:sz w:val="20"/>
          <w:szCs w:val="20"/>
          <w:color w:val="auto"/>
        </w:rPr>
      </w:pPr>
      <w:r>
        <w:rPr>
          <w:rFonts w:ascii="Arial" w:cs="Arial" w:eastAsia="Arial" w:hAnsi="Arial"/>
          <w:sz w:val="14"/>
          <w:szCs w:val="14"/>
          <w:color w:val="auto"/>
        </w:rPr>
        <w:t>Term, Powers and Duties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-3121025</wp:posOffset>
            </wp:positionH>
            <wp:positionV relativeFrom="paragraph">
              <wp:posOffset>1512570</wp:posOffset>
            </wp:positionV>
            <wp:extent cx="629221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ind w:left="273" w:hanging="273"/>
        <w:spacing w:after="0" w:line="216" w:lineRule="auto"/>
        <w:tabs>
          <w:tab w:leader="none" w:pos="273" w:val="left"/>
        </w:tabs>
        <w:numPr>
          <w:ilvl w:val="0"/>
          <w:numId w:val="139"/>
        </w:numPr>
        <w:rPr>
          <w:rFonts w:ascii="Arial" w:cs="Arial" w:eastAsia="Arial" w:hAnsi="Arial"/>
          <w:sz w:val="28"/>
          <w:szCs w:val="28"/>
          <w:color w:val="auto"/>
          <w:vertAlign w:val="superscript"/>
        </w:rPr>
      </w:pPr>
      <w:r>
        <w:rPr>
          <w:rFonts w:ascii="Arial" w:cs="Arial" w:eastAsia="Arial" w:hAnsi="Arial"/>
          <w:sz w:val="17"/>
          <w:szCs w:val="17"/>
          <w:color w:val="auto"/>
        </w:rPr>
        <w:t>The Auditor shall be elected by the General Meeting of Shareholders and shall have the powers and duties vested in it by law.</w:t>
      </w:r>
    </w:p>
    <w:p>
      <w:pPr>
        <w:spacing w:after="0" w:line="276" w:lineRule="exact"/>
        <w:rPr>
          <w:sz w:val="20"/>
          <w:szCs w:val="20"/>
          <w:color w:val="auto"/>
        </w:rPr>
      </w:pPr>
    </w:p>
    <w:p>
      <w:pPr>
        <w:ind w:left="273" w:right="20" w:hanging="273"/>
        <w:spacing w:after="0" w:line="219" w:lineRule="auto"/>
        <w:tabs>
          <w:tab w:leader="none" w:pos="273" w:val="left"/>
        </w:tabs>
        <w:numPr>
          <w:ilvl w:val="0"/>
          <w:numId w:val="140"/>
        </w:numPr>
        <w:rPr>
          <w:rFonts w:ascii="Arial" w:cs="Arial" w:eastAsia="Arial" w:hAnsi="Arial"/>
          <w:sz w:val="29"/>
          <w:szCs w:val="29"/>
          <w:color w:val="auto"/>
          <w:vertAlign w:val="superscript"/>
        </w:rPr>
      </w:pPr>
      <w:r>
        <w:rPr>
          <w:rFonts w:ascii="Arial" w:cs="Arial" w:eastAsia="Arial" w:hAnsi="Arial"/>
          <w:sz w:val="18"/>
          <w:szCs w:val="18"/>
          <w:color w:val="auto"/>
        </w:rPr>
        <w:t>The term of office of the Auditor shall be one year, commencing on the day of election at an Annual General Meeting of Shareholders and terminating on the day of the next Annual General Meeting of Shareholders.</w:t>
      </w:r>
    </w:p>
    <w:p>
      <w:pPr>
        <w:sectPr>
          <w:pgSz w:w="11900" w:h="16838" w:orient="portrait"/>
          <w:cols w:equalWidth="0" w:num="3">
            <w:col w:w="4620" w:space="160"/>
            <w:col w:w="680" w:space="147"/>
            <w:col w:w="3733"/>
          </w:cols>
          <w:pgMar w:left="1220" w:top="670" w:right="1339" w:bottom="1440" w:gutter="0" w:footer="0" w:header="0"/>
          <w:type w:val="continuous"/>
        </w:sectPr>
      </w:pPr>
    </w:p>
    <w:bookmarkStart w:id="36" w:name="page37"/>
    <w:bookmarkEnd w:id="36"/>
    <w:p>
      <w:pPr>
        <w:jc w:val="right"/>
        <w:ind w:right="180"/>
        <w:spacing w:after="0"/>
        <w:rPr>
          <w:sz w:val="20"/>
          <w:szCs w:val="20"/>
          <w:color w:val="auto"/>
        </w:rPr>
      </w:pPr>
      <w:r>
        <w:rPr>
          <w:rFonts w:ascii="Arial" w:cs="Arial" w:eastAsia="Arial" w:hAnsi="Arial"/>
          <w:sz w:val="14"/>
          <w:szCs w:val="14"/>
          <w:color w:val="auto"/>
        </w:rPr>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666750</wp:posOffset>
            </wp:positionV>
            <wp:extent cx="226314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Abschnitt 3a:</w:t>
      </w:r>
    </w:p>
    <w:p>
      <w:pPr>
        <w:spacing w:after="0" w:line="14" w:lineRule="exact"/>
        <w:rPr>
          <w:sz w:val="20"/>
          <w:szCs w:val="20"/>
          <w:color w:val="auto"/>
        </w:rPr>
      </w:pPr>
    </w:p>
    <w:p>
      <w:pPr>
        <w:ind w:left="980" w:right="700"/>
        <w:spacing w:after="0" w:line="250" w:lineRule="auto"/>
        <w:rPr>
          <w:sz w:val="20"/>
          <w:szCs w:val="20"/>
          <w:color w:val="auto"/>
        </w:rPr>
      </w:pPr>
      <w:r>
        <w:rPr>
          <w:rFonts w:ascii="Arial" w:cs="Arial" w:eastAsia="Arial" w:hAnsi="Arial"/>
          <w:sz w:val="18"/>
          <w:szCs w:val="18"/>
          <w:i w:val="1"/>
          <w:iCs w:val="1"/>
          <w:color w:val="auto"/>
        </w:rPr>
        <w:t>Vergütung des Verwaltungsrates und der Geschäftsleitung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-225425</wp:posOffset>
            </wp:positionH>
            <wp:positionV relativeFrom="paragraph">
              <wp:posOffset>567055</wp:posOffset>
            </wp:positionV>
            <wp:extent cx="629221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-161925</wp:posOffset>
            </wp:positionV>
            <wp:extent cx="228028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ind w:right="199"/>
        <w:spacing w:after="0" w:line="279" w:lineRule="auto"/>
        <w:rPr>
          <w:sz w:val="20"/>
          <w:szCs w:val="20"/>
          <w:color w:val="auto"/>
        </w:rPr>
      </w:pPr>
      <w:r>
        <w:rPr>
          <w:rFonts w:ascii="Arial" w:cs="Arial" w:eastAsia="Arial" w:hAnsi="Arial"/>
          <w:sz w:val="17"/>
          <w:szCs w:val="17"/>
          <w:i w:val="1"/>
          <w:iCs w:val="1"/>
          <w:color w:val="auto"/>
        </w:rPr>
        <w:t>Compensation of the Board of Directors and the Executive Management Team</w:t>
      </w:r>
    </w:p>
    <w:p>
      <w:pPr>
        <w:sectPr>
          <w:pgSz w:w="11900" w:h="16838" w:orient="portrait"/>
          <w:cols w:equalWidth="0" w:num="2">
            <w:col w:w="4940" w:space="720"/>
            <w:col w:w="3359"/>
          </w:cols>
          <w:pgMar w:left="1440" w:top="670" w:right="1440" w:bottom="1440" w:gutter="0" w:footer="0" w:header="0"/>
        </w:sectPr>
      </w:pPr>
    </w:p>
    <w:bookmarkStart w:id="37" w:name="page38"/>
    <w:bookmarkEnd w:id="37"/>
    <w:p>
      <w:pPr>
        <w:jc w:val="center"/>
        <w:ind w:right="-319"/>
        <w:spacing w:after="0"/>
        <w:rPr>
          <w:sz w:val="20"/>
          <w:szCs w:val="20"/>
          <w:color w:val="auto"/>
        </w:rPr>
      </w:pPr>
      <w:r>
        <w:rPr>
          <w:rFonts w:ascii="Arial" w:cs="Arial" w:eastAsia="Arial" w:hAnsi="Arial"/>
          <w:sz w:val="14"/>
          <w:szCs w:val="14"/>
          <w:color w:val="auto"/>
        </w:rPr>
        <w:t>- 30 -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882015</wp:posOffset>
            </wp:positionH>
            <wp:positionV relativeFrom="paragraph">
              <wp:posOffset>392430</wp:posOffset>
            </wp:positionV>
            <wp:extent cx="509206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0920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440"/>
        <w:spacing w:after="0"/>
        <w:tabs>
          <w:tab w:leader="none" w:pos="6120" w:val="left"/>
        </w:tabs>
        <w:rPr>
          <w:sz w:val="20"/>
          <w:szCs w:val="20"/>
          <w:color w:val="auto"/>
        </w:rPr>
      </w:pPr>
      <w:r>
        <w:rPr>
          <w:rFonts w:ascii="Arial" w:cs="Arial" w:eastAsia="Arial" w:hAnsi="Arial"/>
          <w:sz w:val="18"/>
          <w:szCs w:val="18"/>
          <w:b w:val="1"/>
          <w:bCs w:val="1"/>
          <w:color w:val="auto"/>
        </w:rPr>
        <w:t>Artikel 29a</w:t>
      </w:r>
      <w:r>
        <w:rPr>
          <w:sz w:val="20"/>
          <w:szCs w:val="20"/>
          <w:color w:val="auto"/>
        </w:rPr>
        <w:tab/>
      </w:r>
      <w:r>
        <w:rPr>
          <w:rFonts w:ascii="Arial" w:cs="Arial" w:eastAsia="Arial" w:hAnsi="Arial"/>
          <w:sz w:val="18"/>
          <w:szCs w:val="18"/>
          <w:b w:val="1"/>
          <w:bCs w:val="1"/>
          <w:color w:val="auto"/>
        </w:rPr>
        <w:t>Article 29a</w:t>
      </w:r>
    </w:p>
    <w:p>
      <w:pPr>
        <w:sectPr>
          <w:pgSz w:w="11900" w:h="16838" w:orient="portrait"/>
          <w:cols w:equalWidth="0" w:num="1">
            <w:col w:w="9320"/>
          </w:cols>
          <w:pgMar w:left="1220" w:top="670" w:right="1359" w:bottom="1440" w:gutter="0" w:footer="0" w:header="0"/>
        </w:sectPr>
      </w:pP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Genehmigung</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der Vergütung</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des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Verwaltungsrates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und der</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Geschäftsleitung</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durch die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Aktionäre</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ind w:left="207" w:hanging="207"/>
        <w:spacing w:after="0" w:line="228" w:lineRule="auto"/>
        <w:tabs>
          <w:tab w:leader="none" w:pos="207" w:val="left"/>
        </w:tabs>
        <w:numPr>
          <w:ilvl w:val="0"/>
          <w:numId w:val="141"/>
        </w:numPr>
        <w:rPr>
          <w:rFonts w:ascii="Arial" w:cs="Arial" w:eastAsia="Arial" w:hAnsi="Arial"/>
          <w:sz w:val="29"/>
          <w:szCs w:val="29"/>
          <w:color w:val="auto"/>
          <w:vertAlign w:val="superscript"/>
        </w:rPr>
      </w:pPr>
      <w:r>
        <w:rPr>
          <w:rFonts w:ascii="Arial" w:cs="Arial" w:eastAsia="Arial" w:hAnsi="Arial"/>
          <w:sz w:val="18"/>
          <w:szCs w:val="18"/>
          <w:color w:val="auto"/>
        </w:rPr>
        <w:t>Die Aktionäre genehmigen, unter Vorbehalt der nachstehenden Abs. 3 und Abs. 4, an jeder ordentlichen Generalversammlung die Anträge des Verwaltungsrates betreffend den Maximalgesamtbetrag (in US Dollars, Schweizer Franken oder einer anderen Währung):</w:t>
      </w:r>
    </w:p>
    <w:p>
      <w:pPr>
        <w:spacing w:after="0" w:line="21" w:lineRule="exact"/>
        <w:rPr>
          <w:rFonts w:ascii="Arial" w:cs="Arial" w:eastAsia="Arial" w:hAnsi="Arial"/>
          <w:sz w:val="29"/>
          <w:szCs w:val="29"/>
          <w:color w:val="auto"/>
          <w:vertAlign w:val="superscript"/>
        </w:rPr>
      </w:pPr>
    </w:p>
    <w:p>
      <w:pPr>
        <w:ind w:left="647" w:right="200" w:hanging="377"/>
        <w:spacing w:after="0"/>
        <w:tabs>
          <w:tab w:leader="none" w:pos="647" w:val="left"/>
        </w:tabs>
        <w:numPr>
          <w:ilvl w:val="1"/>
          <w:numId w:val="141"/>
        </w:numPr>
        <w:rPr>
          <w:rFonts w:ascii="Arial" w:cs="Arial" w:eastAsia="Arial" w:hAnsi="Arial"/>
          <w:sz w:val="18"/>
          <w:szCs w:val="18"/>
          <w:color w:val="auto"/>
        </w:rPr>
      </w:pPr>
      <w:r>
        <w:rPr>
          <w:rFonts w:ascii="Arial" w:cs="Arial" w:eastAsia="Arial" w:hAnsi="Arial"/>
          <w:sz w:val="18"/>
          <w:szCs w:val="18"/>
          <w:color w:val="auto"/>
        </w:rPr>
        <w:t>der Vergütung des Verwaltungsrates für die Periode zwischen der ordentlichen Generalversammlung, an der um Genehmigung ersucht wird, und der nächsten ordentlichen Generalversammlung; und</w:t>
      </w:r>
    </w:p>
    <w:p>
      <w:pPr>
        <w:spacing w:after="0" w:line="22" w:lineRule="exact"/>
        <w:rPr>
          <w:rFonts w:ascii="Arial" w:cs="Arial" w:eastAsia="Arial" w:hAnsi="Arial"/>
          <w:sz w:val="18"/>
          <w:szCs w:val="18"/>
          <w:color w:val="auto"/>
        </w:rPr>
      </w:pPr>
    </w:p>
    <w:p>
      <w:pPr>
        <w:ind w:left="647" w:hanging="377"/>
        <w:spacing w:after="0" w:line="242" w:lineRule="auto"/>
        <w:tabs>
          <w:tab w:leader="none" w:pos="647" w:val="left"/>
        </w:tabs>
        <w:numPr>
          <w:ilvl w:val="1"/>
          <w:numId w:val="141"/>
        </w:numPr>
        <w:rPr>
          <w:rFonts w:ascii="Arial" w:cs="Arial" w:eastAsia="Arial" w:hAnsi="Arial"/>
          <w:sz w:val="18"/>
          <w:szCs w:val="18"/>
          <w:color w:val="auto"/>
        </w:rPr>
      </w:pPr>
      <w:r>
        <w:rPr>
          <w:rFonts w:ascii="Arial" w:cs="Arial" w:eastAsia="Arial" w:hAnsi="Arial"/>
          <w:sz w:val="18"/>
          <w:szCs w:val="18"/>
          <w:color w:val="auto"/>
        </w:rPr>
        <w:t>der Vergütung der Geschäftsleitung für das Geschäftsjahr, das nach der ordentlichen Generalversammlung, an der um Genehmigung ersucht wird, beginnt.</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246" w:lineRule="auto"/>
        <w:rPr>
          <w:sz w:val="20"/>
          <w:szCs w:val="20"/>
          <w:color w:val="auto"/>
        </w:rPr>
      </w:pPr>
      <w:r>
        <w:rPr>
          <w:rFonts w:ascii="Arial" w:cs="Arial" w:eastAsia="Arial" w:hAnsi="Arial"/>
          <w:sz w:val="14"/>
          <w:szCs w:val="14"/>
          <w:color w:val="auto"/>
        </w:rPr>
        <w:t>Shareholder 1 Ratification of Compensation of the Board</w:t>
      </w:r>
    </w:p>
    <w:p>
      <w:pPr>
        <w:spacing w:after="0" w:line="2" w:lineRule="exact"/>
        <w:rPr>
          <w:sz w:val="20"/>
          <w:szCs w:val="20"/>
          <w:color w:val="auto"/>
        </w:rPr>
      </w:pPr>
    </w:p>
    <w:p>
      <w:pPr>
        <w:ind w:right="300"/>
        <w:spacing w:after="0" w:line="247" w:lineRule="auto"/>
        <w:rPr>
          <w:sz w:val="20"/>
          <w:szCs w:val="20"/>
          <w:color w:val="auto"/>
        </w:rPr>
      </w:pPr>
      <w:r>
        <w:rPr>
          <w:rFonts w:ascii="Arial" w:cs="Arial" w:eastAsia="Arial" w:hAnsi="Arial"/>
          <w:sz w:val="14"/>
          <w:szCs w:val="14"/>
          <w:color w:val="auto"/>
        </w:rPr>
        <w:t>of Directors and the Executive Management Team</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The shareholders shall, subject to para. 3 and para. 4 below, at each Annual General Meeting ratify the proposals of the Board of Directors as regards the maximum aggregate amount (expressed in U.S. dollars, Swiss francs or any other currency) of, respectively:</w:t>
      </w:r>
    </w:p>
    <w:p>
      <w:pPr>
        <w:spacing w:after="0" w:line="59" w:lineRule="exact"/>
        <w:rPr>
          <w:sz w:val="20"/>
          <w:szCs w:val="20"/>
          <w:color w:val="auto"/>
        </w:rPr>
      </w:pPr>
    </w:p>
    <w:p>
      <w:pPr>
        <w:ind w:left="440" w:hanging="379"/>
        <w:spacing w:after="0" w:line="261" w:lineRule="auto"/>
        <w:tabs>
          <w:tab w:leader="none" w:pos="44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the compensation of the Board of Directors for the period between the Annual General Meeting at which ratification is sought and the next Annual General Meeting; and</w:t>
      </w:r>
    </w:p>
    <w:p>
      <w:pPr>
        <w:spacing w:after="0" w:line="200" w:lineRule="exact"/>
        <w:rPr>
          <w:rFonts w:ascii="Arial" w:cs="Arial" w:eastAsia="Arial" w:hAnsi="Arial"/>
          <w:sz w:val="17"/>
          <w:szCs w:val="17"/>
          <w:color w:val="auto"/>
        </w:rPr>
      </w:pPr>
    </w:p>
    <w:p>
      <w:pPr>
        <w:spacing w:after="0" w:line="208" w:lineRule="exact"/>
        <w:rPr>
          <w:rFonts w:ascii="Arial" w:cs="Arial" w:eastAsia="Arial" w:hAnsi="Arial"/>
          <w:sz w:val="17"/>
          <w:szCs w:val="17"/>
          <w:color w:val="auto"/>
        </w:rPr>
      </w:pPr>
    </w:p>
    <w:p>
      <w:pPr>
        <w:ind w:left="440" w:hanging="379"/>
        <w:spacing w:after="0" w:line="244" w:lineRule="auto"/>
        <w:tabs>
          <w:tab w:leader="none" w:pos="4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compensation of the Executive Management Team for the fiscal year commencing after the Annual General Meeting at which ratification is sought.</w:t>
      </w:r>
    </w:p>
    <w:p>
      <w:pPr>
        <w:spacing w:after="0" w:line="271" w:lineRule="exact"/>
        <w:rPr>
          <w:sz w:val="20"/>
          <w:szCs w:val="20"/>
          <w:color w:val="auto"/>
        </w:rPr>
      </w:pPr>
    </w:p>
    <w:p>
      <w:pPr>
        <w:sectPr>
          <w:pgSz w:w="11900" w:h="16838" w:orient="portrait"/>
          <w:cols w:equalWidth="0" w:num="4">
            <w:col w:w="1100" w:space="133"/>
            <w:col w:w="3487" w:space="140"/>
            <w:col w:w="1140" w:space="140"/>
            <w:col w:w="3180"/>
          </w:cols>
          <w:pgMar w:left="1220" w:top="670" w:right="1359" w:bottom="1440" w:gutter="0" w:footer="0" w:header="0"/>
          <w:type w:val="continuous"/>
        </w:sectPr>
      </w:pPr>
    </w:p>
    <w:p>
      <w:pPr>
        <w:ind w:left="1440" w:right="478" w:hanging="207"/>
        <w:spacing w:after="0" w:line="226" w:lineRule="auto"/>
        <w:tabs>
          <w:tab w:leader="none" w:pos="1440" w:val="left"/>
        </w:tabs>
        <w:numPr>
          <w:ilvl w:val="0"/>
          <w:numId w:val="143"/>
        </w:numPr>
        <w:rPr>
          <w:rFonts w:ascii="Arial" w:cs="Arial" w:eastAsia="Arial" w:hAnsi="Arial"/>
          <w:sz w:val="29"/>
          <w:szCs w:val="29"/>
          <w:color w:val="auto"/>
          <w:vertAlign w:val="superscript"/>
        </w:rPr>
      </w:pPr>
      <w:r>
        <w:rPr>
          <w:rFonts w:ascii="Arial" w:cs="Arial" w:eastAsia="Arial" w:hAnsi="Arial"/>
          <w:sz w:val="18"/>
          <w:szCs w:val="18"/>
          <w:color w:val="auto"/>
        </w:rPr>
        <w:t>Der Verwaltungsrat kann die Aktionäre an einer Generalversammlung um Genehmigung eines Gesamtbetrages oder eines Maximalgesamtbetrages der Vergütung des Verwaltungsrates bzw. der Geschäftsleitung, oder von Elementen davon, oder zusätzlicher oder bedingter Beträge für von Abs. 1 dieses Artikels 29a abweichende Zeitperioden ersuchen, sei es auf retrospektiver Basis, prospektiver Basis oder einer Kombination davon.</w:t>
      </w:r>
    </w:p>
    <w:p>
      <w:pPr>
        <w:spacing w:after="0" w:line="20" w:lineRule="exact"/>
        <w:rPr>
          <w:sz w:val="20"/>
          <w:szCs w:val="20"/>
          <w:color w:val="auto"/>
        </w:rPr>
      </w:pPr>
      <w:r>
        <w:rPr>
          <w:sz w:val="20"/>
          <w:szCs w:val="20"/>
          <w:color w:val="auto"/>
        </w:rPr>
        <w:br w:type="column"/>
      </w:r>
    </w:p>
    <w:p>
      <w:pPr>
        <w:ind w:left="222" w:right="60" w:hanging="222"/>
        <w:spacing w:after="0"/>
        <w:tabs>
          <w:tab w:leader="none" w:pos="222" w:val="left"/>
        </w:tabs>
        <w:numPr>
          <w:ilvl w:val="0"/>
          <w:numId w:val="144"/>
        </w:numPr>
        <w:rPr>
          <w:rFonts w:ascii="Arial" w:cs="Arial" w:eastAsia="Arial" w:hAnsi="Arial"/>
          <w:sz w:val="28"/>
          <w:szCs w:val="28"/>
          <w:color w:val="auto"/>
          <w:vertAlign w:val="superscript"/>
        </w:rPr>
      </w:pPr>
      <w:r>
        <w:rPr>
          <w:rFonts w:ascii="Arial" w:cs="Arial" w:eastAsia="Arial" w:hAnsi="Arial"/>
          <w:sz w:val="17"/>
          <w:szCs w:val="17"/>
          <w:color w:val="auto"/>
        </w:rPr>
        <w:t>The Board of Directors may seek ratification by the shareholders at a General Meeting of Shareholders on a retrospective or prospective basis, or a combination thereof, of the aggregate amount, or maximum aggregate amount, of compensation, respectively, of the Board of Directors and the Executive Management Team, or any element thereof, or any additional or contingent amount, in relation to different time periods than those referred to in para. 1 of this Article 29a.</w:t>
      </w:r>
    </w:p>
    <w:p>
      <w:pPr>
        <w:spacing w:after="0" w:line="73" w:lineRule="exact"/>
        <w:rPr>
          <w:sz w:val="20"/>
          <w:szCs w:val="20"/>
          <w:color w:val="auto"/>
        </w:rPr>
      </w:pPr>
    </w:p>
    <w:p>
      <w:pPr>
        <w:sectPr>
          <w:pgSz w:w="11900" w:h="16838" w:orient="portrait"/>
          <w:cols w:equalWidth="0" w:num="2">
            <w:col w:w="5198" w:space="720"/>
            <w:col w:w="3402"/>
          </w:cols>
          <w:pgMar w:left="1220" w:top="670" w:right="1359" w:bottom="1440" w:gutter="0" w:footer="0" w:header="0"/>
          <w:type w:val="continuous"/>
        </w:sectPr>
      </w:pPr>
    </w:p>
    <w:p>
      <w:pPr>
        <w:ind w:left="1440" w:right="498" w:hanging="207"/>
        <w:spacing w:after="0" w:line="227" w:lineRule="auto"/>
        <w:tabs>
          <w:tab w:leader="none" w:pos="1440" w:val="left"/>
        </w:tabs>
        <w:numPr>
          <w:ilvl w:val="0"/>
          <w:numId w:val="145"/>
        </w:numPr>
        <w:rPr>
          <w:rFonts w:ascii="Arial" w:cs="Arial" w:eastAsia="Arial" w:hAnsi="Arial"/>
          <w:sz w:val="29"/>
          <w:szCs w:val="29"/>
          <w:color w:val="auto"/>
          <w:vertAlign w:val="superscript"/>
        </w:rPr>
      </w:pPr>
      <w:r>
        <w:rPr>
          <w:rFonts w:ascii="Arial" w:cs="Arial" w:eastAsia="Arial" w:hAnsi="Arial"/>
          <w:sz w:val="18"/>
          <w:szCs w:val="18"/>
          <w:color w:val="auto"/>
        </w:rPr>
        <w:t>Innerhalb des von den Aktionären an der jeweiligen Generalversammlung genehmigten Gesamtbetrages oder Maximalgesamtbetrages ist ausschliesslich der Verwaltungsrat, oder soweit delegiert, der Vergütungsausschuss befugt und verantwortlich, die tatsächliche individuelle Vergütung jedes Mitglieds des Verwaltungsrates beziehungsweise der Geschäftsleitung zu bestimmen. Zu diesem Zweck wird der Wert der Vergütung in der Regel gemäss allgemein anerkannten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501650</wp:posOffset>
            </wp:positionV>
            <wp:extent cx="629221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222" w:hanging="222"/>
        <w:spacing w:after="0" w:line="228" w:lineRule="auto"/>
        <w:tabs>
          <w:tab w:leader="none" w:pos="222" w:val="left"/>
        </w:tabs>
        <w:numPr>
          <w:ilvl w:val="0"/>
          <w:numId w:val="146"/>
        </w:numPr>
        <w:rPr>
          <w:rFonts w:ascii="Arial" w:cs="Arial" w:eastAsia="Arial" w:hAnsi="Arial"/>
          <w:sz w:val="29"/>
          <w:szCs w:val="29"/>
          <w:color w:val="auto"/>
          <w:vertAlign w:val="superscript"/>
        </w:rPr>
      </w:pPr>
      <w:r>
        <w:rPr>
          <w:rFonts w:ascii="Arial" w:cs="Arial" w:eastAsia="Arial" w:hAnsi="Arial"/>
          <w:sz w:val="18"/>
          <w:szCs w:val="18"/>
          <w:color w:val="auto"/>
        </w:rPr>
        <w:t>Within the aggregate amount, or maximum aggregate amount ratified by the shareholders at the relevant General Meeting of Shareholders, it shall be the exclusive authority and responsibility of the Board of Directors or, where delegated to it, the Compensation Committee, to determine the actual individual compensation of, respectively, each member of the Board of Directors and the Executive Management Team. For such purposes, the value of compensation shall as a rule be determined in accordance</w:t>
      </w:r>
    </w:p>
    <w:p>
      <w:pPr>
        <w:sectPr>
          <w:pgSz w:w="11900" w:h="16838" w:orient="portrait"/>
          <w:cols w:equalWidth="0" w:num="2">
            <w:col w:w="5198" w:space="720"/>
            <w:col w:w="3402"/>
          </w:cols>
          <w:pgMar w:left="1220" w:top="670" w:right="1359" w:bottom="1440" w:gutter="0" w:footer="0" w:header="0"/>
          <w:type w:val="continuous"/>
        </w:sectPr>
      </w:pPr>
    </w:p>
    <w:bookmarkStart w:id="38" w:name="page39"/>
    <w:bookmarkEnd w:id="38"/>
    <w:p>
      <w:pPr>
        <w:jc w:val="right"/>
        <w:spacing w:after="0"/>
        <w:rPr>
          <w:sz w:val="20"/>
          <w:szCs w:val="20"/>
          <w:color w:val="auto"/>
        </w:rPr>
      </w:pPr>
      <w:r>
        <w:rPr>
          <w:rFonts w:ascii="Arial" w:cs="Arial" w:eastAsia="Arial" w:hAnsi="Arial"/>
          <w:sz w:val="14"/>
          <w:szCs w:val="14"/>
          <w:color w:val="auto"/>
        </w:rPr>
        <w:t>- 31 -</w:t>
      </w:r>
    </w:p>
    <w:p>
      <w:pPr>
        <w:spacing w:after="0" w:line="200" w:lineRule="exact"/>
        <w:rPr>
          <w:sz w:val="20"/>
          <w:szCs w:val="20"/>
          <w:color w:val="auto"/>
        </w:rPr>
      </w:pPr>
    </w:p>
    <w:p>
      <w:pPr>
        <w:spacing w:after="0" w:line="39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Bewertungsmethoden per Datum der</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Zuteilung des jeweiligen</w:t>
      </w:r>
    </w:p>
    <w:p>
      <w:pPr>
        <w:ind w:left="1020"/>
        <w:spacing w:after="0"/>
        <w:rPr>
          <w:sz w:val="20"/>
          <w:szCs w:val="20"/>
          <w:color w:val="auto"/>
        </w:rPr>
      </w:pPr>
      <w:r>
        <w:rPr>
          <w:rFonts w:ascii="Arial" w:cs="Arial" w:eastAsia="Arial" w:hAnsi="Arial"/>
          <w:sz w:val="18"/>
          <w:szCs w:val="18"/>
          <w:color w:val="auto"/>
        </w:rPr>
        <w:t>Vergütungselements bestimmt.</w:t>
      </w:r>
    </w:p>
    <w:p>
      <w:pPr>
        <w:spacing w:after="0" w:line="86" w:lineRule="exact"/>
        <w:rPr>
          <w:sz w:val="20"/>
          <w:szCs w:val="20"/>
          <w:color w:val="auto"/>
        </w:rPr>
      </w:pPr>
    </w:p>
    <w:p>
      <w:pPr>
        <w:ind w:left="1020" w:right="420" w:hanging="290"/>
        <w:spacing w:after="0" w:line="229" w:lineRule="auto"/>
        <w:tabs>
          <w:tab w:leader="none" w:pos="1020" w:val="left"/>
        </w:tabs>
        <w:numPr>
          <w:ilvl w:val="0"/>
          <w:numId w:val="147"/>
        </w:numPr>
        <w:rPr>
          <w:rFonts w:ascii="Arial" w:cs="Arial" w:eastAsia="Arial" w:hAnsi="Arial"/>
          <w:sz w:val="29"/>
          <w:szCs w:val="29"/>
          <w:color w:val="auto"/>
          <w:vertAlign w:val="superscript"/>
        </w:rPr>
      </w:pPr>
      <w:r>
        <w:rPr>
          <w:rFonts w:ascii="Arial" w:cs="Arial" w:eastAsia="Arial" w:hAnsi="Arial"/>
          <w:sz w:val="18"/>
          <w:szCs w:val="18"/>
          <w:color w:val="auto"/>
        </w:rPr>
        <w:t>Genehmigen die Aktionäre an einer Generalversammlung einen Antrag des Verwaltungsrates gemäss Abs. 1 oder Abs. 2 hiervor nicht, so zieht der Verwaltungsrat oder, soweit delegiert, der Vergütungsausschuss den nicht-genehmigten Antrag unter Berücksichtigung, soweit feststellbar, der Gründe, aus denen die Aktionäre den Antrag nicht genehmigt haben, in Wiedererwägung und ersucht die Aktionäre um Genehmigung eines revidierten Antrags; die Genehmigung kann an der Generalversammlung, an welcher der Antrag gemäss Abs. 1 oder Abs. 2 hiervor nicht genehmigt wurde, an einer ausserordentlichen Generalversammlung oder an der nächsten ordentlichen Generalversammlung erfolgen.</w:t>
      </w:r>
    </w:p>
    <w:p>
      <w:pPr>
        <w:spacing w:after="0" w:line="87" w:lineRule="exact"/>
        <w:rPr>
          <w:sz w:val="20"/>
          <w:szCs w:val="20"/>
          <w:color w:val="auto"/>
        </w:rPr>
      </w:pPr>
    </w:p>
    <w:p>
      <w:pPr>
        <w:ind w:left="1020" w:right="440" w:hanging="290"/>
        <w:spacing w:after="0" w:line="221" w:lineRule="auto"/>
        <w:tabs>
          <w:tab w:leader="none" w:pos="1020" w:val="left"/>
        </w:tabs>
        <w:numPr>
          <w:ilvl w:val="0"/>
          <w:numId w:val="148"/>
        </w:numPr>
        <w:rPr>
          <w:rFonts w:ascii="Arial" w:cs="Arial" w:eastAsia="Arial" w:hAnsi="Arial"/>
          <w:sz w:val="29"/>
          <w:szCs w:val="29"/>
          <w:color w:val="auto"/>
          <w:vertAlign w:val="superscript"/>
        </w:rPr>
      </w:pPr>
      <w:r>
        <w:rPr>
          <w:rFonts w:ascii="Arial" w:cs="Arial" w:eastAsia="Arial" w:hAnsi="Arial"/>
          <w:sz w:val="18"/>
          <w:szCs w:val="18"/>
          <w:color w:val="auto"/>
        </w:rPr>
        <w:t>Die Gesellschaft oder von ihr kontrollierte Gesellschaften können, unter Vorbehalt der nachträglichen Genehmigung durch die Aktionäre, Vergütung vor der Genehmigung durch die Aktionäre an einer Generalversammlung zuteilen oder bezahlen.</w:t>
      </w:r>
    </w:p>
    <w:p>
      <w:pPr>
        <w:ind w:left="720"/>
        <w:spacing w:after="0" w:line="220" w:lineRule="auto"/>
        <w:rPr>
          <w:sz w:val="20"/>
          <w:szCs w:val="20"/>
          <w:color w:val="auto"/>
        </w:rPr>
      </w:pPr>
      <w:r>
        <w:rPr>
          <w:rFonts w:ascii="Arial" w:cs="Arial" w:eastAsia="Arial" w:hAnsi="Arial"/>
          <w:sz w:val="28"/>
          <w:szCs w:val="28"/>
          <w:color w:val="auto"/>
          <w:vertAlign w:val="superscript"/>
        </w:rPr>
        <w:t>5a</w:t>
      </w:r>
      <w:r>
        <w:rPr>
          <w:rFonts w:ascii="Arial" w:cs="Arial" w:eastAsia="Arial" w:hAnsi="Arial"/>
          <w:sz w:val="18"/>
          <w:szCs w:val="18"/>
          <w:color w:val="auto"/>
        </w:rPr>
        <w:t xml:space="preserve">  Wird variable Vergütung des</w:t>
      </w:r>
    </w:p>
    <w:p>
      <w:pPr>
        <w:ind w:left="1020"/>
        <w:spacing w:after="0" w:line="235" w:lineRule="auto"/>
        <w:rPr>
          <w:sz w:val="20"/>
          <w:szCs w:val="20"/>
          <w:color w:val="auto"/>
        </w:rPr>
      </w:pPr>
      <w:r>
        <w:rPr>
          <w:rFonts w:ascii="Arial" w:cs="Arial" w:eastAsia="Arial" w:hAnsi="Arial"/>
          <w:sz w:val="18"/>
          <w:szCs w:val="18"/>
          <w:color w:val="auto"/>
        </w:rPr>
        <w:t>Verwaltungsrats oder der Geschäftsleitung</w:t>
      </w:r>
    </w:p>
    <w:p>
      <w:pPr>
        <w:ind w:left="1020"/>
        <w:spacing w:after="0" w:line="234" w:lineRule="auto"/>
        <w:rPr>
          <w:sz w:val="20"/>
          <w:szCs w:val="20"/>
          <w:color w:val="auto"/>
        </w:rPr>
      </w:pPr>
      <w:r>
        <w:rPr>
          <w:rFonts w:ascii="Arial" w:cs="Arial" w:eastAsia="Arial" w:hAnsi="Arial"/>
          <w:sz w:val="18"/>
          <w:szCs w:val="18"/>
          <w:color w:val="auto"/>
        </w:rPr>
        <w:t>von den Aktionären an der ordentlichen</w:t>
      </w:r>
    </w:p>
    <w:p>
      <w:pPr>
        <w:ind w:left="1020"/>
        <w:spacing w:after="0" w:line="235" w:lineRule="auto"/>
        <w:rPr>
          <w:sz w:val="20"/>
          <w:szCs w:val="20"/>
          <w:color w:val="auto"/>
        </w:rPr>
      </w:pPr>
      <w:r>
        <w:rPr>
          <w:rFonts w:ascii="Arial" w:cs="Arial" w:eastAsia="Arial" w:hAnsi="Arial"/>
          <w:sz w:val="18"/>
          <w:szCs w:val="18"/>
          <w:color w:val="auto"/>
        </w:rPr>
        <w:t>Generalversammlung prospektiv</w:t>
      </w:r>
    </w:p>
    <w:p>
      <w:pPr>
        <w:ind w:left="1020"/>
        <w:spacing w:after="0" w:line="235" w:lineRule="auto"/>
        <w:rPr>
          <w:sz w:val="20"/>
          <w:szCs w:val="20"/>
          <w:color w:val="auto"/>
        </w:rPr>
      </w:pPr>
      <w:r>
        <w:rPr>
          <w:rFonts w:ascii="Arial" w:cs="Arial" w:eastAsia="Arial" w:hAnsi="Arial"/>
          <w:sz w:val="18"/>
          <w:szCs w:val="18"/>
          <w:color w:val="auto"/>
        </w:rPr>
        <w:t>genehmigt, legt der Verwaltungsrat den</w:t>
      </w:r>
    </w:p>
    <w:p>
      <w:pPr>
        <w:ind w:left="1020"/>
        <w:spacing w:after="0" w:line="235" w:lineRule="auto"/>
        <w:rPr>
          <w:sz w:val="20"/>
          <w:szCs w:val="20"/>
          <w:color w:val="auto"/>
        </w:rPr>
      </w:pPr>
      <w:r>
        <w:rPr>
          <w:rFonts w:ascii="Arial" w:cs="Arial" w:eastAsia="Arial" w:hAnsi="Arial"/>
          <w:sz w:val="18"/>
          <w:szCs w:val="18"/>
          <w:color w:val="auto"/>
        </w:rPr>
        <w:t>Aktionären an der ordentlichen</w:t>
      </w:r>
    </w:p>
    <w:p>
      <w:pPr>
        <w:ind w:left="1020"/>
        <w:spacing w:after="0" w:line="235" w:lineRule="auto"/>
        <w:rPr>
          <w:sz w:val="20"/>
          <w:szCs w:val="20"/>
          <w:color w:val="auto"/>
        </w:rPr>
      </w:pPr>
      <w:r>
        <w:rPr>
          <w:rFonts w:ascii="Arial" w:cs="Arial" w:eastAsia="Arial" w:hAnsi="Arial"/>
          <w:sz w:val="18"/>
          <w:szCs w:val="18"/>
          <w:color w:val="auto"/>
        </w:rPr>
        <w:t>Generalversammlung den</w:t>
      </w:r>
    </w:p>
    <w:p>
      <w:pPr>
        <w:ind w:left="1020"/>
        <w:spacing w:after="0" w:line="234" w:lineRule="auto"/>
        <w:rPr>
          <w:sz w:val="20"/>
          <w:szCs w:val="20"/>
          <w:color w:val="auto"/>
        </w:rPr>
      </w:pPr>
      <w:r>
        <w:rPr>
          <w:rFonts w:ascii="Arial" w:cs="Arial" w:eastAsia="Arial" w:hAnsi="Arial"/>
          <w:sz w:val="18"/>
          <w:szCs w:val="18"/>
          <w:color w:val="auto"/>
        </w:rPr>
        <w:t>Vergütungsbericht gemäss Schweizer</w:t>
      </w:r>
    </w:p>
    <w:p>
      <w:pPr>
        <w:ind w:left="1020"/>
        <w:spacing w:after="0" w:line="235" w:lineRule="auto"/>
        <w:rPr>
          <w:sz w:val="20"/>
          <w:szCs w:val="20"/>
          <w:color w:val="auto"/>
        </w:rPr>
      </w:pPr>
      <w:r>
        <w:rPr>
          <w:rFonts w:ascii="Arial" w:cs="Arial" w:eastAsia="Arial" w:hAnsi="Arial"/>
          <w:sz w:val="18"/>
          <w:szCs w:val="18"/>
          <w:color w:val="auto"/>
        </w:rPr>
        <w:t>Obligationenrecht zur</w:t>
      </w:r>
    </w:p>
    <w:p>
      <w:pPr>
        <w:spacing w:after="0" w:line="1"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Konsultativabstimmung vor.</w:t>
      </w:r>
    </w:p>
    <w:p>
      <w:pPr>
        <w:spacing w:after="0" w:line="86" w:lineRule="exact"/>
        <w:rPr>
          <w:sz w:val="20"/>
          <w:szCs w:val="20"/>
          <w:color w:val="auto"/>
        </w:rPr>
      </w:pPr>
    </w:p>
    <w:p>
      <w:pPr>
        <w:ind w:left="1020" w:right="500" w:hanging="290"/>
        <w:spacing w:after="0" w:line="226" w:lineRule="auto"/>
        <w:tabs>
          <w:tab w:leader="none" w:pos="1020" w:val="left"/>
        </w:tabs>
        <w:numPr>
          <w:ilvl w:val="0"/>
          <w:numId w:val="149"/>
        </w:numPr>
        <w:rPr>
          <w:rFonts w:ascii="Arial" w:cs="Arial" w:eastAsia="Arial" w:hAnsi="Arial"/>
          <w:sz w:val="29"/>
          <w:szCs w:val="29"/>
          <w:color w:val="auto"/>
          <w:vertAlign w:val="superscript"/>
        </w:rPr>
      </w:pPr>
      <w:r>
        <w:rPr>
          <w:rFonts w:ascii="Arial" w:cs="Arial" w:eastAsia="Arial" w:hAnsi="Arial"/>
          <w:sz w:val="18"/>
          <w:szCs w:val="18"/>
          <w:color w:val="auto"/>
        </w:rPr>
        <w:t>Der Begriff "Vergütung", so wie er in diesen Statuten verwendet wird (ausser soweit im Rahmen einer spezifischen Bestimmung dieser Statuten anders definiert), umfasst jegliche Form der Entschädigung, einschliesslich (ohne Beschränkung auf) anteilsbasierte Vergütung oder Leistungs-, Erfolgs- oder andere Vergütung, in bar, Aktien, gesperrten Aktien, gesperrten Aktieneinheiten, aufgeschobenen Einheiten, Optionen,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-225425</wp:posOffset>
            </wp:positionH>
            <wp:positionV relativeFrom="paragraph">
              <wp:posOffset>371475</wp:posOffset>
            </wp:positionV>
            <wp:extent cx="629221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292" w:right="500"/>
        <w:spacing w:after="0" w:line="275" w:lineRule="auto"/>
        <w:rPr>
          <w:sz w:val="20"/>
          <w:szCs w:val="20"/>
          <w:color w:val="auto"/>
        </w:rPr>
      </w:pPr>
      <w:r>
        <w:rPr>
          <w:rFonts w:ascii="Arial" w:cs="Arial" w:eastAsia="Arial" w:hAnsi="Arial"/>
          <w:sz w:val="17"/>
          <w:szCs w:val="17"/>
          <w:color w:val="auto"/>
        </w:rPr>
        <w:t>with generally recognized valuation methods as per the grant date of the respective compensation element.</w:t>
      </w:r>
    </w:p>
    <w:p>
      <w:pPr>
        <w:spacing w:after="0" w:line="44" w:lineRule="exact"/>
        <w:rPr>
          <w:sz w:val="20"/>
          <w:szCs w:val="20"/>
          <w:color w:val="auto"/>
        </w:rPr>
      </w:pPr>
    </w:p>
    <w:p>
      <w:pPr>
        <w:ind w:left="292" w:right="80" w:hanging="292"/>
        <w:spacing w:after="0" w:line="229" w:lineRule="auto"/>
        <w:tabs>
          <w:tab w:leader="none" w:pos="292" w:val="left"/>
        </w:tabs>
        <w:numPr>
          <w:ilvl w:val="0"/>
          <w:numId w:val="150"/>
        </w:numPr>
        <w:rPr>
          <w:rFonts w:ascii="Arial" w:cs="Arial" w:eastAsia="Arial" w:hAnsi="Arial"/>
          <w:sz w:val="29"/>
          <w:szCs w:val="29"/>
          <w:color w:val="auto"/>
          <w:vertAlign w:val="superscript"/>
        </w:rPr>
      </w:pPr>
      <w:r>
        <w:rPr>
          <w:rFonts w:ascii="Arial" w:cs="Arial" w:eastAsia="Arial" w:hAnsi="Arial"/>
          <w:sz w:val="18"/>
          <w:szCs w:val="18"/>
          <w:color w:val="auto"/>
        </w:rPr>
        <w:t>If the shareholders at a General Meeting of Shareholders have not ratified a proposal of the Board of Directors pursuant to para. 1 or para. 2 above, the Board of Directors or, where delegated to it, the Compensation Committee shall reconsider the proposal that has not been ratified, taking into account, to the extent identifiable, the reasons for which the shareholders did not ratify the proposal, and seek shareholder ratification for a revised proposal at the General Meeting of Shareholders at which the proposal pursuant to para. 1 or para. 2 above has not been ratified, at an Extraordinary General Meeting or at the next Annual General Meeting.</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92" w:right="100" w:hanging="292"/>
        <w:spacing w:after="0" w:line="228" w:lineRule="auto"/>
        <w:tabs>
          <w:tab w:leader="none" w:pos="292" w:val="left"/>
        </w:tabs>
        <w:numPr>
          <w:ilvl w:val="0"/>
          <w:numId w:val="151"/>
        </w:numPr>
        <w:rPr>
          <w:rFonts w:ascii="Arial" w:cs="Arial" w:eastAsia="Arial" w:hAnsi="Arial"/>
          <w:sz w:val="28"/>
          <w:szCs w:val="28"/>
          <w:color w:val="auto"/>
          <w:vertAlign w:val="superscript"/>
        </w:rPr>
      </w:pPr>
      <w:r>
        <w:rPr>
          <w:rFonts w:ascii="Arial" w:cs="Arial" w:eastAsia="Arial" w:hAnsi="Arial"/>
          <w:sz w:val="17"/>
          <w:szCs w:val="17"/>
          <w:color w:val="auto"/>
        </w:rPr>
        <w:t>The Company or companies under its control may grant or pay compensation subject to subsequent shareholder ratification prior to shareholder ratification at a General Meeting of Shareholders.</w:t>
      </w:r>
    </w:p>
    <w:p>
      <w:pPr>
        <w:spacing w:after="0" w:line="200" w:lineRule="exact"/>
        <w:rPr>
          <w:sz w:val="20"/>
          <w:szCs w:val="20"/>
          <w:color w:val="auto"/>
        </w:rPr>
      </w:pPr>
    </w:p>
    <w:p>
      <w:pPr>
        <w:spacing w:after="0" w:line="277" w:lineRule="exact"/>
        <w:rPr>
          <w:sz w:val="20"/>
          <w:szCs w:val="20"/>
          <w:color w:val="auto"/>
        </w:rPr>
      </w:pPr>
    </w:p>
    <w:p>
      <w:pPr>
        <w:ind w:left="292" w:right="60" w:hanging="299"/>
        <w:spacing w:after="0" w:line="225" w:lineRule="auto"/>
        <w:tabs>
          <w:tab w:leader="none" w:pos="272" w:val="left"/>
        </w:tabs>
        <w:rPr>
          <w:sz w:val="20"/>
          <w:szCs w:val="20"/>
          <w:color w:val="auto"/>
        </w:rPr>
      </w:pPr>
      <w:r>
        <w:rPr>
          <w:rFonts w:ascii="Arial" w:cs="Arial" w:eastAsia="Arial" w:hAnsi="Arial"/>
          <w:sz w:val="29"/>
          <w:szCs w:val="29"/>
          <w:color w:val="auto"/>
          <w:vertAlign w:val="superscript"/>
        </w:rPr>
        <w:t>5a</w:t>
      </w:r>
      <w:r>
        <w:rPr>
          <w:sz w:val="20"/>
          <w:szCs w:val="20"/>
          <w:color w:val="auto"/>
        </w:rPr>
        <w:tab/>
      </w:r>
      <w:r>
        <w:rPr>
          <w:rFonts w:ascii="Arial" w:cs="Arial" w:eastAsia="Arial" w:hAnsi="Arial"/>
          <w:sz w:val="18"/>
          <w:szCs w:val="18"/>
          <w:color w:val="auto"/>
        </w:rPr>
        <w:t>If variable compensation of the Board of Directors or the Executive Management is approved by shareholders at the Annual General Meeting of Shareholders prospectively, the Board of Directors shall submit the compensation report established under the Swiss Code of Obligations to an advisory vote of shareholders at the Annual General Meeting of Shareholders.</w:t>
      </w:r>
    </w:p>
    <w:p>
      <w:pPr>
        <w:spacing w:after="0" w:line="74" w:lineRule="exact"/>
        <w:rPr>
          <w:sz w:val="20"/>
          <w:szCs w:val="20"/>
          <w:color w:val="auto"/>
        </w:rPr>
      </w:pPr>
    </w:p>
    <w:p>
      <w:pPr>
        <w:ind w:left="292" w:hanging="292"/>
        <w:spacing w:after="0" w:line="226" w:lineRule="auto"/>
        <w:tabs>
          <w:tab w:leader="none" w:pos="292" w:val="left"/>
        </w:tabs>
        <w:numPr>
          <w:ilvl w:val="0"/>
          <w:numId w:val="152"/>
        </w:numPr>
        <w:rPr>
          <w:rFonts w:ascii="Arial" w:cs="Arial" w:eastAsia="Arial" w:hAnsi="Arial"/>
          <w:sz w:val="29"/>
          <w:szCs w:val="29"/>
          <w:color w:val="auto"/>
          <w:vertAlign w:val="superscript"/>
        </w:rPr>
      </w:pPr>
      <w:r>
        <w:rPr>
          <w:rFonts w:ascii="Arial" w:cs="Arial" w:eastAsia="Arial" w:hAnsi="Arial"/>
          <w:sz w:val="18"/>
          <w:szCs w:val="18"/>
          <w:color w:val="auto"/>
        </w:rPr>
        <w:t>The term "compensation," as used in these Articles of Association (except to the extent defined otherwise in a specific provision of these Articles of Association), shall include any form of remuneration, including, without limitation, equity awards, or incentive awards or other awards, in cash, shares, restricted shares, restricted share units, deferred units, options, share appreciation rights, bonus shares, performance awards, awards of other</w:t>
      </w:r>
    </w:p>
    <w:p>
      <w:pPr>
        <w:sectPr>
          <w:pgSz w:w="11900" w:h="16838" w:orient="portrait"/>
          <w:cols w:equalWidth="0" w:num="2">
            <w:col w:w="4760" w:space="668"/>
            <w:col w:w="3692"/>
          </w:cols>
          <w:pgMar w:left="1440" w:top="670" w:right="1339" w:bottom="1440" w:gutter="0" w:footer="0" w:header="0"/>
        </w:sectPr>
      </w:pPr>
    </w:p>
    <w:bookmarkStart w:id="39" w:name="page40"/>
    <w:bookmarkEnd w:id="39"/>
    <w:p>
      <w:pPr>
        <w:jc w:val="center"/>
        <w:ind w:right="-299"/>
        <w:spacing w:after="0"/>
        <w:rPr>
          <w:sz w:val="20"/>
          <w:szCs w:val="20"/>
          <w:color w:val="auto"/>
        </w:rPr>
      </w:pPr>
      <w:r>
        <w:rPr>
          <w:rFonts w:ascii="Arial" w:cs="Arial" w:eastAsia="Arial" w:hAnsi="Arial"/>
          <w:sz w:val="13"/>
          <w:szCs w:val="13"/>
          <w:color w:val="auto"/>
        </w:rPr>
        <w:t>- 32 -</w:t>
      </w:r>
    </w:p>
    <w:p>
      <w:pPr>
        <w:sectPr>
          <w:pgSz w:w="11900" w:h="16838" w:orient="portrait"/>
          <w:cols w:equalWidth="0" w:num="1">
            <w:col w:w="9340"/>
          </w:cols>
          <w:pgMar w:left="1220" w:top="670"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400" w:right="700"/>
        <w:spacing w:after="0" w:line="236" w:lineRule="auto"/>
        <w:rPr>
          <w:sz w:val="20"/>
          <w:szCs w:val="20"/>
          <w:color w:val="auto"/>
        </w:rPr>
      </w:pPr>
      <w:r>
        <w:rPr>
          <w:rFonts w:ascii="Arial" w:cs="Arial" w:eastAsia="Arial" w:hAnsi="Arial"/>
          <w:sz w:val="18"/>
          <w:szCs w:val="18"/>
          <w:color w:val="auto"/>
        </w:rPr>
        <w:t>Aktienwertsteigerungsrechten, Bonus-Aktien, Leistungsprämien oder anderen Finanzinstrumenten oder Derivaten, oder irgendeine Kombination davon, und andere Leistungen und Vorteile, welche den betreffenden Empfängern zugeteilt oder bezahlt wird bzw. welche diese erhalten (vorausgesetzt, dass Mitglieder des Verwaltungsrates nur eine anteilsbasierte Vergütung in der Form von Aktien, gesperrten Aktien, gesperrten Aktieneinheiten, aufgeschobenen Einheiten oder ähnlichen Instrumenten erhalten dürfen), in jedem Fall unabhängig davon, ob die Vergütung, die Leistungen oder die Vorteile in Aktien, in anderen Finanzmarktinstrumenten, in bar oder als Sach- oder Dienstleistung ausgerichtet oder beglichen werden. Der Begriff "Vergütung" umfasst nicht den Ersatz oder die Bevorschussung von Auslagen, die der betreffende Empfänger im Interesse der Gesellschaft oder von ihr kontrollierten Gesellschaften getätigt hat, oder eine Schadloshaltung oder Bevorschussung von Auslagen, die an ein Mitglied des Verwaltungsrates oder der Geschäftsleitung gemäss Artikel 24 Abs. 3 und Abs. 4 dieser Statuten ausgerichtet wird.</w:t>
      </w:r>
    </w:p>
    <w:p>
      <w:pPr>
        <w:spacing w:after="0" w:line="77" w:lineRule="exact"/>
        <w:rPr>
          <w:sz w:val="20"/>
          <w:szCs w:val="20"/>
          <w:color w:val="auto"/>
        </w:rPr>
      </w:pPr>
    </w:p>
    <w:p>
      <w:pPr>
        <w:ind w:left="1400"/>
        <w:spacing w:after="0"/>
        <w:rPr>
          <w:sz w:val="20"/>
          <w:szCs w:val="20"/>
          <w:color w:val="auto"/>
        </w:rPr>
      </w:pPr>
      <w:r>
        <w:rPr>
          <w:rFonts w:ascii="Arial" w:cs="Arial" w:eastAsia="Arial" w:hAnsi="Arial"/>
          <w:sz w:val="18"/>
          <w:szCs w:val="18"/>
          <w:b w:val="1"/>
          <w:bCs w:val="1"/>
          <w:color w:val="auto"/>
        </w:rPr>
        <w:t>Artikel 29b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0"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financial instruments or derivatives, or any combination of the foregoing, granted or paid to, and any other benefits and perquisites received by, the respective recipients (it being understood that members of the Board of Directors may only receive equity awards in the form of shares, restricted shares, restricted share units, deferred units or similar instruments), in each case irrespective of whether any of such awards, benefits or perquisites are provided or settled in shares, other securities, cash, in kind or in form of services. The term "compensation" shall not include the reimbursement or the advancement of expenses incurred by the respective recipient in the interest of the Company or companies under its control, or any indemnification or advancement of expenses provided to a member of the Board of Directors or the Executive Management Team pursuant to Article 24 para. 3 and para. 4 of these Articles of Association.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29b</w:t>
      </w:r>
    </w:p>
    <w:p>
      <w:pPr>
        <w:spacing w:after="0" w:line="200" w:lineRule="exact"/>
        <w:rPr>
          <w:sz w:val="20"/>
          <w:szCs w:val="20"/>
          <w:color w:val="auto"/>
        </w:rPr>
      </w:pPr>
    </w:p>
    <w:p>
      <w:pPr>
        <w:sectPr>
          <w:pgSz w:w="11900" w:h="16838" w:orient="portrait"/>
          <w:cols w:equalWidth="0" w:num="2">
            <w:col w:w="5420" w:space="720"/>
            <w:col w:w="3200"/>
          </w:cols>
          <w:pgMar w:left="1220" w:top="670" w:right="1339" w:bottom="1440" w:gutter="0" w:footer="0" w:header="0"/>
          <w:type w:val="continuous"/>
        </w:sectPr>
      </w:pP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Vergütungs-</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Prinzipien für</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Verwaltungsrat</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und</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Geschäftsleitung</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ind w:left="207" w:hanging="207"/>
        <w:spacing w:after="0" w:line="230" w:lineRule="auto"/>
        <w:tabs>
          <w:tab w:leader="none" w:pos="207" w:val="left"/>
        </w:tabs>
        <w:numPr>
          <w:ilvl w:val="0"/>
          <w:numId w:val="153"/>
        </w:numPr>
        <w:rPr>
          <w:rFonts w:ascii="Arial" w:cs="Arial" w:eastAsia="Arial" w:hAnsi="Arial"/>
          <w:sz w:val="29"/>
          <w:szCs w:val="29"/>
          <w:color w:val="auto"/>
          <w:vertAlign w:val="superscript"/>
        </w:rPr>
      </w:pPr>
      <w:r>
        <w:rPr>
          <w:rFonts w:ascii="Arial" w:cs="Arial" w:eastAsia="Arial" w:hAnsi="Arial"/>
          <w:sz w:val="18"/>
          <w:szCs w:val="18"/>
          <w:color w:val="auto"/>
        </w:rPr>
        <w:t>Die Vergütung des Verwaltungsrates kann (i) Barkomponenten, (ii) Aktien, gesperrte Aktien, gesperrte Aktieneinheiten, aufgeschobene Einheiten oder ähnliche Instrumente und/oder (iii) Leistungen oder Vorteile in der Form von Sach- oder Dienstleistungen umfassen, wie im Einzelnen vom Verwaltungsrat oder, soweit delegiert, vom Vergütungsausschuss von Zeit zu Zeit unter Vorbehalt der anwendbaren Planbestimmungen festgelegt. Die so festgelegte Vergütung soll unter anderem die Funktion und die Aufgaben der Verwaltungsräte im Verwaltungsrat und in Ausschüssen des Verwaltungsrates berücksichtigen. Exekutive Verwaltungsräte erhalten keine Vergütung zusätzlich zur Vergütung, welche ihnen im Rahmen ihrer Funktion als Officers der Gesellschaft ausgerichtet wird.</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line="249" w:lineRule="auto"/>
        <w:rPr>
          <w:sz w:val="20"/>
          <w:szCs w:val="20"/>
          <w:color w:val="auto"/>
        </w:rPr>
      </w:pPr>
      <w:r>
        <w:rPr>
          <w:rFonts w:ascii="Arial" w:cs="Arial" w:eastAsia="Arial" w:hAnsi="Arial"/>
          <w:sz w:val="14"/>
          <w:szCs w:val="14"/>
          <w:color w:val="auto"/>
        </w:rPr>
        <w:t>Compensation 1 Principles for the Board of Directors and the Executive Management Team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-3171825</wp:posOffset>
            </wp:positionH>
            <wp:positionV relativeFrom="paragraph">
              <wp:posOffset>2704465</wp:posOffset>
            </wp:positionV>
            <wp:extent cx="629221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ind w:right="120"/>
        <w:spacing w:after="0" w:line="253" w:lineRule="auto"/>
        <w:rPr>
          <w:sz w:val="20"/>
          <w:szCs w:val="20"/>
          <w:color w:val="auto"/>
        </w:rPr>
      </w:pPr>
      <w:r>
        <w:rPr>
          <w:rFonts w:ascii="Arial" w:cs="Arial" w:eastAsia="Arial" w:hAnsi="Arial"/>
          <w:sz w:val="17"/>
          <w:szCs w:val="17"/>
          <w:color w:val="auto"/>
        </w:rPr>
        <w:t>The compensation of the Board of Directors may include (i) cash components, (ii) shares, restricted shares, restricted share units, deferred units or similar instruments, and/or</w:t>
      </w:r>
    </w:p>
    <w:p>
      <w:pPr>
        <w:ind w:firstLine="7"/>
        <w:spacing w:after="0" w:line="236" w:lineRule="auto"/>
        <w:tabs>
          <w:tab w:leader="none" w:pos="29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benefits or perquisites in kind or in the form of services, as shall be determined by the Board of Directors or, where delegated to it, the Compensation Committee from time to time, subject to the terms of the applicable plans. The compensation so determined shall, among other things, take into account the position and the roles of the directors within the Board of Directors and on committees of the Board of Directors. Executive directors shall not receive any compensation in addition to the compensation paid to them in their roles as officers of the Company.</w:t>
      </w:r>
    </w:p>
    <w:p>
      <w:pPr>
        <w:sectPr>
          <w:pgSz w:w="11900" w:h="16838" w:orient="portrait"/>
          <w:cols w:equalWidth="0" w:num="4">
            <w:col w:w="1060" w:space="133"/>
            <w:col w:w="3527" w:space="140"/>
            <w:col w:w="1140" w:space="140"/>
            <w:col w:w="3200"/>
          </w:cols>
          <w:pgMar w:left="1220" w:top="670" w:right="1339" w:bottom="1440" w:gutter="0" w:footer="0" w:header="0"/>
          <w:type w:val="continuous"/>
        </w:sectPr>
      </w:pPr>
    </w:p>
    <w:bookmarkStart w:id="40" w:name="page41"/>
    <w:bookmarkEnd w:id="40"/>
    <w:p>
      <w:pPr>
        <w:jc w:val="right"/>
        <w:spacing w:after="0"/>
        <w:rPr>
          <w:sz w:val="20"/>
          <w:szCs w:val="20"/>
          <w:color w:val="auto"/>
        </w:rPr>
      </w:pPr>
      <w:r>
        <w:rPr>
          <w:rFonts w:ascii="Arial" w:cs="Arial" w:eastAsia="Arial" w:hAnsi="Arial"/>
          <w:sz w:val="14"/>
          <w:szCs w:val="14"/>
          <w:color w:val="auto"/>
        </w:rPr>
        <w:t>- 33 -</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980" w:right="400" w:hanging="223"/>
        <w:spacing w:after="0" w:line="218" w:lineRule="auto"/>
        <w:tabs>
          <w:tab w:leader="none" w:pos="980" w:val="left"/>
        </w:tabs>
        <w:numPr>
          <w:ilvl w:val="0"/>
          <w:numId w:val="155"/>
        </w:numPr>
        <w:rPr>
          <w:rFonts w:ascii="Arial" w:cs="Arial" w:eastAsia="Arial" w:hAnsi="Arial"/>
          <w:sz w:val="28"/>
          <w:szCs w:val="28"/>
          <w:color w:val="auto"/>
          <w:vertAlign w:val="superscript"/>
        </w:rPr>
      </w:pPr>
      <w:r>
        <w:rPr>
          <w:rFonts w:ascii="Arial" w:cs="Arial" w:eastAsia="Arial" w:hAnsi="Arial"/>
          <w:sz w:val="17"/>
          <w:szCs w:val="17"/>
          <w:color w:val="auto"/>
        </w:rPr>
        <w:t>Sofern vom Verwaltungsrat oder, soweit delegiert, vom Vergütungsausschuss nicht anders festgelegt, besteht die Vergütung der Geschäftsleitung in der Regel aus</w:t>
      </w:r>
    </w:p>
    <w:p>
      <w:pPr>
        <w:spacing w:after="0" w:line="2" w:lineRule="exact"/>
        <w:rPr>
          <w:rFonts w:ascii="Arial" w:cs="Arial" w:eastAsia="Arial" w:hAnsi="Arial"/>
          <w:sz w:val="28"/>
          <w:szCs w:val="28"/>
          <w:color w:val="auto"/>
          <w:vertAlign w:val="superscript"/>
        </w:rPr>
      </w:pPr>
    </w:p>
    <w:p>
      <w:pPr>
        <w:ind w:left="980" w:right="360"/>
        <w:spacing w:after="0" w:line="251" w:lineRule="auto"/>
        <w:rPr>
          <w:rFonts w:ascii="Arial" w:cs="Arial" w:eastAsia="Arial" w:hAnsi="Arial"/>
          <w:sz w:val="28"/>
          <w:szCs w:val="28"/>
          <w:color w:val="auto"/>
          <w:vertAlign w:val="superscript"/>
        </w:rPr>
      </w:pPr>
      <w:r>
        <w:rPr>
          <w:rFonts w:ascii="Arial" w:cs="Arial" w:eastAsia="Arial" w:hAnsi="Arial"/>
          <w:sz w:val="17"/>
          <w:szCs w:val="17"/>
          <w:color w:val="auto"/>
        </w:rPr>
        <w:t>(i) einem Basissalär, (ii) kurzfristiger Leistungs- oder Erfolgsvergütung gemäss den anwendbaren Plänen, (iii) langfristiger Leistungs- oder Erfolgsvergütung gemäss den anwendbaren Plänen und (iv) weiterer Vergütung, die der Verwaltungsrat oder, soweit delegiert, der Vergütungsausschuss als angemessen erachtet, einschliesslich (ohne Beschränkung auf) Beiträge an Vorsorgeleistungspläne und Spesenpauschalen.</w:t>
      </w:r>
    </w:p>
    <w:p>
      <w:pPr>
        <w:spacing w:after="0" w:line="69" w:lineRule="exact"/>
        <w:rPr>
          <w:sz w:val="20"/>
          <w:szCs w:val="20"/>
          <w:color w:val="auto"/>
        </w:rPr>
      </w:pPr>
    </w:p>
    <w:p>
      <w:pPr>
        <w:ind w:left="980" w:right="380" w:hanging="223"/>
        <w:spacing w:after="0" w:line="230" w:lineRule="auto"/>
        <w:tabs>
          <w:tab w:leader="none" w:pos="980" w:val="left"/>
        </w:tabs>
        <w:numPr>
          <w:ilvl w:val="0"/>
          <w:numId w:val="156"/>
        </w:numPr>
        <w:rPr>
          <w:rFonts w:ascii="Arial" w:cs="Arial" w:eastAsia="Arial" w:hAnsi="Arial"/>
          <w:sz w:val="29"/>
          <w:szCs w:val="29"/>
          <w:color w:val="auto"/>
          <w:vertAlign w:val="superscript"/>
        </w:rPr>
      </w:pPr>
      <w:r>
        <w:rPr>
          <w:rFonts w:ascii="Arial" w:cs="Arial" w:eastAsia="Arial" w:hAnsi="Arial"/>
          <w:sz w:val="18"/>
          <w:szCs w:val="18"/>
          <w:color w:val="auto"/>
        </w:rPr>
        <w:t>Kurzfristige Leistungs- oder Erfolgsvergütung soll Mitgliedern der Geschäftsleitung die Möglichkeit geben, einen jährlichen Bar-Bonus, andere an kurzfristigen Leistungs- oder Erfolgszielen ausgerichtete Vergütung, oder eine Kombination davon zu verdienen, jeweils wie vom Verwaltungsrat oder, soweit delegiert, vom Vergütungsausschuss von Zeit zu Zeit festgelegt, und ist gestützt auf Performance festzulegen, gemessen an vordefinierten Zielen, einschliesslich (ohne Beschränkung auf) Sicherheitszielen, finanziellen Zielen, strategischen Unternehmenszielen, individuellen Leistungszielen, Leistungszielen bezogen auf vergleichbare Unternehmen, und anderen Zielen, wie vom Verwaltungsrat, oder soweit delegiert, vom Vergütungsausschuss von Zeit zu Zeit festgelegt.</w:t>
      </w:r>
    </w:p>
    <w:p>
      <w:pPr>
        <w:spacing w:after="0" w:line="74" w:lineRule="exact"/>
        <w:rPr>
          <w:sz w:val="20"/>
          <w:szCs w:val="20"/>
          <w:color w:val="auto"/>
        </w:rPr>
      </w:pPr>
    </w:p>
    <w:p>
      <w:pPr>
        <w:ind w:left="980" w:right="460" w:hanging="223"/>
        <w:spacing w:after="0" w:line="228" w:lineRule="auto"/>
        <w:tabs>
          <w:tab w:leader="none" w:pos="980" w:val="left"/>
        </w:tabs>
        <w:numPr>
          <w:ilvl w:val="0"/>
          <w:numId w:val="157"/>
        </w:numPr>
        <w:rPr>
          <w:rFonts w:ascii="Arial" w:cs="Arial" w:eastAsia="Arial" w:hAnsi="Arial"/>
          <w:sz w:val="29"/>
          <w:szCs w:val="29"/>
          <w:color w:val="auto"/>
          <w:vertAlign w:val="superscript"/>
        </w:rPr>
      </w:pPr>
      <w:r>
        <w:rPr>
          <w:rFonts w:ascii="Arial" w:cs="Arial" w:eastAsia="Arial" w:hAnsi="Arial"/>
          <w:sz w:val="18"/>
          <w:szCs w:val="18"/>
          <w:color w:val="auto"/>
        </w:rPr>
        <w:t>Langfristige Leistungs- oder Erfolgsvergütung ist mit dem Ziel auszugestalten, einen Anreiz für eine erhöhte Leistung und die Erreichung von langfristigen Zielen durch die Geschäftsleitung zu setzen, das Wachstum von Shareholder Value zu fördern und Schlüsseltalente anzubinden, unter anderem dadurch, dass Mitgliedern der Geschäftsleitung Möglichkeiten gegeben werden, am langfristigen Wachstum und der Profitabilität der Gesellschaft teilzuhaben. Zu diesem Zweck, einschliesslich (ohne Beschränkung) zwecks Bestimmung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-225425</wp:posOffset>
            </wp:positionH>
            <wp:positionV relativeFrom="paragraph">
              <wp:posOffset>368935</wp:posOffset>
            </wp:positionV>
            <wp:extent cx="629221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32" w:right="60" w:hanging="232"/>
        <w:spacing w:after="0" w:line="228" w:lineRule="auto"/>
        <w:tabs>
          <w:tab w:leader="none" w:pos="232" w:val="left"/>
        </w:tabs>
        <w:numPr>
          <w:ilvl w:val="0"/>
          <w:numId w:val="158"/>
        </w:numPr>
        <w:rPr>
          <w:rFonts w:ascii="Arial" w:cs="Arial" w:eastAsia="Arial" w:hAnsi="Arial"/>
          <w:sz w:val="29"/>
          <w:szCs w:val="29"/>
          <w:color w:val="auto"/>
          <w:vertAlign w:val="superscript"/>
        </w:rPr>
      </w:pPr>
      <w:r>
        <w:rPr>
          <w:rFonts w:ascii="Arial" w:cs="Arial" w:eastAsia="Arial" w:hAnsi="Arial"/>
          <w:sz w:val="18"/>
          <w:szCs w:val="18"/>
          <w:color w:val="auto"/>
        </w:rPr>
        <w:t>Except as otherwise determined by the Board of Directors or, where delegated to it, the Compensation Committee, the compensation of the Executive Management Team shall generally consist of (i) a base salary, (ii) short-term incentive compensation pursuant to the applicable plans, (iii) long-term incentive compensation pursuant to the applicable plans and (iv) any other compensation as deemed appropriate by the Board of Directors or, where delegated to it, the Compensation Committee, including, without limitation, contributions to post-retirement benefit plans and allowances.</w:t>
      </w:r>
    </w:p>
    <w:p>
      <w:pPr>
        <w:spacing w:after="0" w:line="76" w:lineRule="exact"/>
        <w:rPr>
          <w:sz w:val="20"/>
          <w:szCs w:val="20"/>
          <w:color w:val="auto"/>
        </w:rPr>
      </w:pPr>
    </w:p>
    <w:p>
      <w:pPr>
        <w:ind w:left="232" w:hanging="232"/>
        <w:spacing w:after="0" w:line="242" w:lineRule="auto"/>
        <w:tabs>
          <w:tab w:leader="none" w:pos="232" w:val="left"/>
        </w:tabs>
        <w:numPr>
          <w:ilvl w:val="0"/>
          <w:numId w:val="159"/>
        </w:numPr>
        <w:rPr>
          <w:rFonts w:ascii="Arial" w:cs="Arial" w:eastAsia="Arial" w:hAnsi="Arial"/>
          <w:sz w:val="28"/>
          <w:szCs w:val="28"/>
          <w:color w:val="auto"/>
          <w:vertAlign w:val="superscript"/>
        </w:rPr>
      </w:pPr>
      <w:r>
        <w:rPr>
          <w:rFonts w:ascii="Arial" w:cs="Arial" w:eastAsia="Arial" w:hAnsi="Arial"/>
          <w:sz w:val="17"/>
          <w:szCs w:val="17"/>
          <w:color w:val="auto"/>
        </w:rPr>
        <w:t>Short-term incentive compensation shall provide members of the Executive Management Team with the opportunity to earn an annual cash bonus, other short-term incentive awards, or a combination thereof, as shall be determined by the Board of Directors or, where delegated to it, the Compensation Committee from time to time, and shall be based on performance as measured against predetermined objectives, including, without limitation, safety performance objectives, financial performance objectives, strategic corporate objectives, individual performance objectives, peer performance objectives, and such other objectives, all as established by the Board of Directors or, where delegated to it, the Compensation Committee from time to time.</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32" w:right="20" w:hanging="232"/>
        <w:spacing w:after="0" w:line="227" w:lineRule="auto"/>
        <w:tabs>
          <w:tab w:leader="none" w:pos="232" w:val="left"/>
        </w:tabs>
        <w:numPr>
          <w:ilvl w:val="0"/>
          <w:numId w:val="160"/>
        </w:numPr>
        <w:rPr>
          <w:rFonts w:ascii="Arial" w:cs="Arial" w:eastAsia="Arial" w:hAnsi="Arial"/>
          <w:sz w:val="29"/>
          <w:szCs w:val="29"/>
          <w:color w:val="auto"/>
          <w:vertAlign w:val="superscript"/>
        </w:rPr>
      </w:pPr>
      <w:r>
        <w:rPr>
          <w:rFonts w:ascii="Arial" w:cs="Arial" w:eastAsia="Arial" w:hAnsi="Arial"/>
          <w:sz w:val="18"/>
          <w:szCs w:val="18"/>
          <w:color w:val="auto"/>
        </w:rPr>
        <w:t>Long-term incentive compensation shall be designed so as to motivate superior performance and achievement of long-term goals by the Executive Management Team, to promote the growth of shareholder value and retain key talent, among other things, by providing members of the Executive Management Team with opportunities to participate in the long-term growth and profitability of the Company. For such purposes, including, without limitation, for purposes of determining the relevant target values of compensation pursuant to the applicable plans, the Board</w:t>
      </w:r>
    </w:p>
    <w:p>
      <w:pPr>
        <w:sectPr>
          <w:pgSz w:w="11900" w:h="16838" w:orient="portrait"/>
          <w:cols w:equalWidth="0" w:num="2">
            <w:col w:w="4760" w:space="668"/>
            <w:col w:w="3692"/>
          </w:cols>
          <w:pgMar w:left="1440" w:top="670" w:right="1339" w:bottom="1440" w:gutter="0" w:footer="0" w:header="0"/>
        </w:sectPr>
      </w:pPr>
    </w:p>
    <w:bookmarkStart w:id="41" w:name="page42"/>
    <w:bookmarkEnd w:id="41"/>
    <w:p>
      <w:pPr>
        <w:jc w:val="right"/>
        <w:spacing w:after="0"/>
        <w:rPr>
          <w:sz w:val="20"/>
          <w:szCs w:val="20"/>
          <w:color w:val="auto"/>
        </w:rPr>
      </w:pPr>
      <w:r>
        <w:rPr>
          <w:rFonts w:ascii="Arial" w:cs="Arial" w:eastAsia="Arial" w:hAnsi="Arial"/>
          <w:sz w:val="14"/>
          <w:szCs w:val="14"/>
          <w:color w:val="auto"/>
        </w:rPr>
        <w:t>- 34 -</w:t>
      </w:r>
    </w:p>
    <w:p>
      <w:pPr>
        <w:spacing w:after="0" w:line="200" w:lineRule="exact"/>
        <w:rPr>
          <w:sz w:val="20"/>
          <w:szCs w:val="20"/>
          <w:color w:val="auto"/>
        </w:rPr>
      </w:pPr>
    </w:p>
    <w:p>
      <w:pPr>
        <w:spacing w:after="0" w:line="399" w:lineRule="exact"/>
        <w:rPr>
          <w:sz w:val="20"/>
          <w:szCs w:val="20"/>
          <w:color w:val="auto"/>
        </w:rPr>
      </w:pPr>
    </w:p>
    <w:p>
      <w:pPr>
        <w:ind w:left="980" w:right="380"/>
        <w:spacing w:after="0" w:line="236" w:lineRule="auto"/>
        <w:rPr>
          <w:sz w:val="20"/>
          <w:szCs w:val="20"/>
          <w:color w:val="auto"/>
        </w:rPr>
      </w:pPr>
      <w:r>
        <w:rPr>
          <w:rFonts w:ascii="Arial" w:cs="Arial" w:eastAsia="Arial" w:hAnsi="Arial"/>
          <w:sz w:val="18"/>
          <w:szCs w:val="18"/>
          <w:color w:val="auto"/>
        </w:rPr>
        <w:t>der relevanten Zielwerte der Vergütung gemäss den anwendbaren Plänen, kann der Verwaltungsrat oder, soweit delegiert, der Vergütungsausschuss unter anderem die Position und den Grad der Verantwortung des betreffenden Vergütungsempfängers, individuelle Leistungsziele, Ziele der Gesellschaft oder Teilen davon, einschliesslich (ohne Beschränkung) die Aktienrendite im Verhältnis zum Markt, anderen Unternehmen oder anderen Richtgrössen, berücksichtigen. Der endgültige Wert von langfristigen Leistungs- oder Erfolgsvergütung kann den jeweiligen Zielwert übersteigen. Der Verwaltungsrat oder, soweit delegiert, der Vergütungsausschuss bestimmt das relative Gewicht der Leistungskriterien und die jeweiligen Referenzwerte.</w:t>
      </w:r>
    </w:p>
    <w:p>
      <w:pPr>
        <w:spacing w:after="0" w:line="87" w:lineRule="exact"/>
        <w:rPr>
          <w:sz w:val="20"/>
          <w:szCs w:val="20"/>
          <w:color w:val="auto"/>
        </w:rPr>
      </w:pPr>
    </w:p>
    <w:p>
      <w:pPr>
        <w:ind w:left="980" w:right="380" w:hanging="223"/>
        <w:spacing w:after="0" w:line="228" w:lineRule="auto"/>
        <w:tabs>
          <w:tab w:leader="none" w:pos="980" w:val="left"/>
        </w:tabs>
        <w:numPr>
          <w:ilvl w:val="0"/>
          <w:numId w:val="161"/>
        </w:numPr>
        <w:rPr>
          <w:rFonts w:ascii="Arial" w:cs="Arial" w:eastAsia="Arial" w:hAnsi="Arial"/>
          <w:sz w:val="29"/>
          <w:szCs w:val="29"/>
          <w:color w:val="auto"/>
          <w:vertAlign w:val="superscript"/>
        </w:rPr>
      </w:pPr>
      <w:r>
        <w:rPr>
          <w:rFonts w:ascii="Arial" w:cs="Arial" w:eastAsia="Arial" w:hAnsi="Arial"/>
          <w:sz w:val="18"/>
          <w:szCs w:val="18"/>
          <w:color w:val="auto"/>
        </w:rPr>
        <w:t>Der Verwaltungsrat, oder soweit delegiert, der Vergütungsausschuss legt, soweit anwendbar, die Zuteilungs-, Vesting-, Ausübungs- und Verfallsbedingungen fest; der Verwaltungsrat, oder soweit delegiert, der Vergütungsausschuss kann vorsehen, dass bei Eintritt von im Voraus bestimmten Ereignissen wie etwa einem Kontrollwechsel oder der Beendigung eines Arbeits-, Mandats- oder anderen Vertrags Vesting- und Ausübungsbedingungen fortbestehen, verkürzt oder aufgehoben werden, Vergütungen unter Annahme der Zielerreichung ausgerichtet werden oder Vergütungen verfallen.</w:t>
      </w:r>
    </w:p>
    <w:p>
      <w:pPr>
        <w:spacing w:after="0" w:line="82" w:lineRule="exact"/>
        <w:rPr>
          <w:sz w:val="20"/>
          <w:szCs w:val="20"/>
          <w:color w:val="auto"/>
        </w:rPr>
      </w:pPr>
    </w:p>
    <w:p>
      <w:pPr>
        <w:ind w:left="980" w:right="480" w:hanging="223"/>
        <w:spacing w:after="0" w:line="223" w:lineRule="auto"/>
        <w:tabs>
          <w:tab w:leader="none" w:pos="980" w:val="left"/>
        </w:tabs>
        <w:numPr>
          <w:ilvl w:val="0"/>
          <w:numId w:val="162"/>
        </w:numPr>
        <w:rPr>
          <w:rFonts w:ascii="Arial" w:cs="Arial" w:eastAsia="Arial" w:hAnsi="Arial"/>
          <w:sz w:val="29"/>
          <w:szCs w:val="29"/>
          <w:color w:val="auto"/>
          <w:vertAlign w:val="superscript"/>
        </w:rPr>
      </w:pPr>
      <w:r>
        <w:rPr>
          <w:rFonts w:ascii="Arial" w:cs="Arial" w:eastAsia="Arial" w:hAnsi="Arial"/>
          <w:sz w:val="18"/>
          <w:szCs w:val="18"/>
          <w:color w:val="auto"/>
        </w:rPr>
        <w:t>Die Gesellschaft oder von ihr kontrollierte Gesellschaften können die Aktien, die im Rahmen der aktienbezogenen Vergütung an die Begünstigten auszugeben oder zu liefern sind, jeweils soweit verfügbar, aus genehmigtem oder bedingtem Aktienkapital oder unter Verwendung von eigenen Aktien bereitstellen.</w:t>
      </w:r>
    </w:p>
    <w:p>
      <w:pPr>
        <w:spacing w:after="0" w:line="72" w:lineRule="exact"/>
        <w:rPr>
          <w:sz w:val="20"/>
          <w:szCs w:val="20"/>
          <w:color w:val="auto"/>
        </w:rPr>
      </w:pPr>
    </w:p>
    <w:p>
      <w:pPr>
        <w:jc w:val="both"/>
        <w:ind w:left="980" w:right="480" w:hanging="223"/>
        <w:spacing w:after="0" w:line="212" w:lineRule="auto"/>
        <w:tabs>
          <w:tab w:leader="none" w:pos="980" w:val="left"/>
        </w:tabs>
        <w:numPr>
          <w:ilvl w:val="0"/>
          <w:numId w:val="163"/>
        </w:numPr>
        <w:rPr>
          <w:rFonts w:ascii="Arial" w:cs="Arial" w:eastAsia="Arial" w:hAnsi="Arial"/>
          <w:sz w:val="29"/>
          <w:szCs w:val="29"/>
          <w:color w:val="auto"/>
          <w:vertAlign w:val="superscript"/>
        </w:rPr>
      </w:pPr>
      <w:r>
        <w:rPr>
          <w:rFonts w:ascii="Arial" w:cs="Arial" w:eastAsia="Arial" w:hAnsi="Arial"/>
          <w:sz w:val="18"/>
          <w:szCs w:val="18"/>
          <w:color w:val="auto"/>
        </w:rPr>
        <w:t>Vergütung gemäss diesen Statuten kann durch die Gesellschaft oder durch von ihr kontrollierte Gesellschaften zugeteilt oder bezahlt werden.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-225425</wp:posOffset>
            </wp:positionH>
            <wp:positionV relativeFrom="paragraph">
              <wp:posOffset>368300</wp:posOffset>
            </wp:positionV>
            <wp:extent cx="629221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232" w:right="60"/>
        <w:spacing w:after="0" w:line="237" w:lineRule="auto"/>
        <w:rPr>
          <w:sz w:val="20"/>
          <w:szCs w:val="20"/>
          <w:color w:val="auto"/>
        </w:rPr>
      </w:pPr>
      <w:r>
        <w:rPr>
          <w:rFonts w:ascii="Arial" w:cs="Arial" w:eastAsia="Arial" w:hAnsi="Arial"/>
          <w:sz w:val="18"/>
          <w:szCs w:val="18"/>
          <w:color w:val="auto"/>
        </w:rPr>
        <w:t>of Directors or, where delegated to it, the Compensation Committee may, among other things, take into account the position and level of responsibility of the respective compensation recipient, individual performance targets, targets of the Company or parts thereof, including, without limitation, total shareholder return relative to market, other companies or other benchmarks. The definitive value of long-term incentive compensation may exceed the relevant target value. The Board of Directors or, where delegated to it, the Compensation Committee shall determine the relative weight of the performance criteria and the respective target values.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32" w:hanging="232"/>
        <w:spacing w:after="0"/>
        <w:tabs>
          <w:tab w:leader="none" w:pos="232" w:val="left"/>
        </w:tabs>
        <w:numPr>
          <w:ilvl w:val="0"/>
          <w:numId w:val="164"/>
        </w:numPr>
        <w:rPr>
          <w:rFonts w:ascii="Arial" w:cs="Arial" w:eastAsia="Arial" w:hAnsi="Arial"/>
          <w:sz w:val="28"/>
          <w:szCs w:val="28"/>
          <w:color w:val="auto"/>
          <w:vertAlign w:val="superscript"/>
        </w:rPr>
      </w:pPr>
      <w:r>
        <w:rPr>
          <w:rFonts w:ascii="Arial" w:cs="Arial" w:eastAsia="Arial" w:hAnsi="Arial"/>
          <w:sz w:val="17"/>
          <w:szCs w:val="17"/>
          <w:color w:val="auto"/>
        </w:rPr>
        <w:t>The Board of Directors or, where delegated to it, the Compensation Committee shall, as applicable, determine the grant, vesting, exercise and forfeiture conditions; the Board of Directors or, where delegated to it, the Compensation Committee may provide for the continuation, acceleration or removal of vesting and exercise conditions, for the payment or grant of compensation based upon assumed target achievement, or for forfeiture, in each case with regard to pre-determined events such as a change-in-control or termination of an employment, mandate or other agreement.</w:t>
      </w:r>
    </w:p>
    <w:p>
      <w:pPr>
        <w:spacing w:after="0" w:line="200" w:lineRule="exact"/>
        <w:rPr>
          <w:sz w:val="20"/>
          <w:szCs w:val="20"/>
          <w:color w:val="auto"/>
        </w:rPr>
      </w:pPr>
    </w:p>
    <w:p>
      <w:pPr>
        <w:spacing w:after="0" w:line="285" w:lineRule="exact"/>
        <w:rPr>
          <w:sz w:val="20"/>
          <w:szCs w:val="20"/>
          <w:color w:val="auto"/>
        </w:rPr>
      </w:pPr>
    </w:p>
    <w:p>
      <w:pPr>
        <w:ind w:left="232" w:right="60" w:hanging="232"/>
        <w:spacing w:after="0" w:line="221" w:lineRule="auto"/>
        <w:tabs>
          <w:tab w:leader="none" w:pos="232" w:val="left"/>
        </w:tabs>
        <w:numPr>
          <w:ilvl w:val="0"/>
          <w:numId w:val="165"/>
        </w:numPr>
        <w:rPr>
          <w:rFonts w:ascii="Arial" w:cs="Arial" w:eastAsia="Arial" w:hAnsi="Arial"/>
          <w:sz w:val="29"/>
          <w:szCs w:val="29"/>
          <w:color w:val="auto"/>
          <w:vertAlign w:val="superscript"/>
        </w:rPr>
      </w:pPr>
      <w:r>
        <w:rPr>
          <w:rFonts w:ascii="Arial" w:cs="Arial" w:eastAsia="Arial" w:hAnsi="Arial"/>
          <w:sz w:val="18"/>
          <w:szCs w:val="18"/>
          <w:color w:val="auto"/>
        </w:rPr>
        <w:t>The Company or companies under its control may procure the Shares to be issued or delivered to beneficiaries of equity-based awards, to the extent available, from authorized share capital, conditional share capital, or through use of treasury shares.</w:t>
      </w:r>
    </w:p>
    <w:p>
      <w:pPr>
        <w:spacing w:after="0" w:line="277" w:lineRule="exact"/>
        <w:rPr>
          <w:sz w:val="20"/>
          <w:szCs w:val="20"/>
          <w:color w:val="auto"/>
        </w:rPr>
      </w:pPr>
    </w:p>
    <w:p>
      <w:pPr>
        <w:ind w:left="232" w:hanging="232"/>
        <w:spacing w:after="0" w:line="216" w:lineRule="auto"/>
        <w:tabs>
          <w:tab w:leader="none" w:pos="232" w:val="left"/>
        </w:tabs>
        <w:numPr>
          <w:ilvl w:val="0"/>
          <w:numId w:val="166"/>
        </w:numPr>
        <w:rPr>
          <w:rFonts w:ascii="Arial" w:cs="Arial" w:eastAsia="Arial" w:hAnsi="Arial"/>
          <w:sz w:val="28"/>
          <w:szCs w:val="28"/>
          <w:color w:val="auto"/>
          <w:vertAlign w:val="superscript"/>
        </w:rPr>
      </w:pPr>
      <w:r>
        <w:rPr>
          <w:rFonts w:ascii="Arial" w:cs="Arial" w:eastAsia="Arial" w:hAnsi="Arial"/>
          <w:sz w:val="17"/>
          <w:szCs w:val="17"/>
          <w:color w:val="auto"/>
        </w:rPr>
        <w:t>Compensation pursuant to these Articles of Association may be granted or paid by the Company or companies under its control.</w:t>
      </w:r>
    </w:p>
    <w:p>
      <w:pPr>
        <w:sectPr>
          <w:pgSz w:w="11900" w:h="16838" w:orient="portrait"/>
          <w:cols w:equalWidth="0" w:num="2">
            <w:col w:w="4760" w:space="668"/>
            <w:col w:w="3672"/>
          </w:cols>
          <w:pgMar w:left="1440" w:top="670" w:right="1359" w:bottom="1440" w:gutter="0" w:footer="0" w:header="0"/>
        </w:sectPr>
      </w:pPr>
    </w:p>
    <w:bookmarkStart w:id="42" w:name="page43"/>
    <w:bookmarkEnd w:id="42"/>
    <w:p>
      <w:pPr>
        <w:jc w:val="right"/>
        <w:ind w:right="320"/>
        <w:spacing w:after="0"/>
        <w:rPr>
          <w:sz w:val="20"/>
          <w:szCs w:val="20"/>
          <w:color w:val="auto"/>
        </w:rPr>
      </w:pPr>
      <w:r>
        <w:rPr>
          <w:rFonts w:ascii="Arial" w:cs="Arial" w:eastAsia="Arial" w:hAnsi="Arial"/>
          <w:sz w:val="14"/>
          <w:szCs w:val="14"/>
          <w:color w:val="auto"/>
        </w:rPr>
        <w:t>- 35 -</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200"/>
        <w:spacing w:after="0"/>
        <w:rPr>
          <w:sz w:val="20"/>
          <w:szCs w:val="20"/>
          <w:color w:val="auto"/>
        </w:rPr>
      </w:pPr>
      <w:r>
        <w:rPr>
          <w:rFonts w:ascii="Arial" w:cs="Arial" w:eastAsia="Arial" w:hAnsi="Arial"/>
          <w:sz w:val="18"/>
          <w:szCs w:val="18"/>
          <w:b w:val="1"/>
          <w:bCs w:val="1"/>
          <w:color w:val="auto"/>
        </w:rPr>
        <w:t>Artikel 29c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Article 29c</w:t>
      </w:r>
    </w:p>
    <w:p>
      <w:pPr>
        <w:spacing w:after="0" w:line="211" w:lineRule="exact"/>
        <w:rPr>
          <w:sz w:val="20"/>
          <w:szCs w:val="20"/>
          <w:color w:val="auto"/>
        </w:rPr>
      </w:pPr>
    </w:p>
    <w:p>
      <w:pPr>
        <w:sectPr>
          <w:pgSz w:w="11900" w:h="16838" w:orient="portrait"/>
          <w:cols w:equalWidth="0" w:num="2">
            <w:col w:w="5300" w:space="720"/>
            <w:col w:w="3300"/>
          </w:cols>
          <w:pgMar w:left="1220" w:top="670" w:right="1359" w:bottom="1440" w:gutter="0" w:footer="0" w:header="0"/>
        </w:sectPr>
      </w:pP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Zusatzbetrag</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für</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Änderungen</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in der</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Geschäfts-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leitung</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Reicht der von den Aktionären an einer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Generalversammlung genehmigte</w:t>
      </w:r>
    </w:p>
    <w:p>
      <w:pPr>
        <w:spacing w:after="0" w:line="234" w:lineRule="auto"/>
        <w:rPr>
          <w:sz w:val="20"/>
          <w:szCs w:val="20"/>
          <w:color w:val="auto"/>
        </w:rPr>
      </w:pPr>
      <w:r>
        <w:rPr>
          <w:rFonts w:ascii="Arial" w:cs="Arial" w:eastAsia="Arial" w:hAnsi="Arial"/>
          <w:sz w:val="18"/>
          <w:szCs w:val="18"/>
          <w:color w:val="auto"/>
        </w:rPr>
        <w:t>Maximalgesamtbetrag der Vergütung der</w:t>
      </w:r>
    </w:p>
    <w:p>
      <w:pPr>
        <w:spacing w:after="0" w:line="235" w:lineRule="auto"/>
        <w:rPr>
          <w:sz w:val="20"/>
          <w:szCs w:val="20"/>
          <w:color w:val="auto"/>
        </w:rPr>
      </w:pPr>
      <w:r>
        <w:rPr>
          <w:rFonts w:ascii="Arial" w:cs="Arial" w:eastAsia="Arial" w:hAnsi="Arial"/>
          <w:sz w:val="18"/>
          <w:szCs w:val="18"/>
          <w:color w:val="auto"/>
        </w:rPr>
        <w:t>Geschäftsleitung für die Vergütung einer</w:t>
      </w:r>
    </w:p>
    <w:p>
      <w:pPr>
        <w:spacing w:after="0" w:line="235" w:lineRule="auto"/>
        <w:rPr>
          <w:sz w:val="20"/>
          <w:szCs w:val="20"/>
          <w:color w:val="auto"/>
        </w:rPr>
      </w:pPr>
      <w:r>
        <w:rPr>
          <w:rFonts w:ascii="Arial" w:cs="Arial" w:eastAsia="Arial" w:hAnsi="Arial"/>
          <w:sz w:val="18"/>
          <w:szCs w:val="18"/>
          <w:color w:val="auto"/>
        </w:rPr>
        <w:t>Person, die während einer</w:t>
      </w:r>
    </w:p>
    <w:p>
      <w:pPr>
        <w:spacing w:after="0" w:line="235" w:lineRule="auto"/>
        <w:rPr>
          <w:sz w:val="20"/>
          <w:szCs w:val="20"/>
          <w:color w:val="auto"/>
        </w:rPr>
      </w:pPr>
      <w:r>
        <w:rPr>
          <w:rFonts w:ascii="Arial" w:cs="Arial" w:eastAsia="Arial" w:hAnsi="Arial"/>
          <w:sz w:val="18"/>
          <w:szCs w:val="18"/>
          <w:color w:val="auto"/>
        </w:rPr>
        <w:t>Vergütungsperiode, für welche die</w:t>
      </w:r>
    </w:p>
    <w:p>
      <w:pPr>
        <w:spacing w:after="0" w:line="235" w:lineRule="auto"/>
        <w:rPr>
          <w:sz w:val="20"/>
          <w:szCs w:val="20"/>
          <w:color w:val="auto"/>
        </w:rPr>
      </w:pPr>
      <w:r>
        <w:rPr>
          <w:rFonts w:ascii="Arial" w:cs="Arial" w:eastAsia="Arial" w:hAnsi="Arial"/>
          <w:sz w:val="18"/>
          <w:szCs w:val="18"/>
          <w:color w:val="auto"/>
        </w:rPr>
        <w:t>Aktionäre bereits ihre Genehmigung</w:t>
      </w:r>
    </w:p>
    <w:p>
      <w:pPr>
        <w:spacing w:after="0" w:line="234" w:lineRule="auto"/>
        <w:rPr>
          <w:sz w:val="20"/>
          <w:szCs w:val="20"/>
          <w:color w:val="auto"/>
        </w:rPr>
      </w:pPr>
      <w:r>
        <w:rPr>
          <w:rFonts w:ascii="Arial" w:cs="Arial" w:eastAsia="Arial" w:hAnsi="Arial"/>
          <w:sz w:val="18"/>
          <w:szCs w:val="18"/>
          <w:color w:val="auto"/>
        </w:rPr>
        <w:t>erteilt haben, neu eine</w:t>
      </w:r>
    </w:p>
    <w:p>
      <w:pPr>
        <w:spacing w:after="0" w:line="235" w:lineRule="auto"/>
        <w:rPr>
          <w:sz w:val="20"/>
          <w:szCs w:val="20"/>
          <w:color w:val="auto"/>
        </w:rPr>
      </w:pPr>
      <w:r>
        <w:rPr>
          <w:rFonts w:ascii="Arial" w:cs="Arial" w:eastAsia="Arial" w:hAnsi="Arial"/>
          <w:sz w:val="18"/>
          <w:szCs w:val="18"/>
          <w:color w:val="auto"/>
        </w:rPr>
        <w:t>Geschäftsleitungsfunktion antritt, nicht</w:t>
      </w:r>
    </w:p>
    <w:p>
      <w:pPr>
        <w:spacing w:after="0" w:line="235" w:lineRule="auto"/>
        <w:rPr>
          <w:sz w:val="20"/>
          <w:szCs w:val="20"/>
          <w:color w:val="auto"/>
        </w:rPr>
      </w:pPr>
      <w:r>
        <w:rPr>
          <w:rFonts w:ascii="Arial" w:cs="Arial" w:eastAsia="Arial" w:hAnsi="Arial"/>
          <w:sz w:val="18"/>
          <w:szCs w:val="18"/>
          <w:color w:val="auto"/>
        </w:rPr>
        <w:t>aus, sind die Gesellschaft oder von ihr</w:t>
      </w:r>
    </w:p>
    <w:p>
      <w:pPr>
        <w:spacing w:after="0" w:line="235" w:lineRule="auto"/>
        <w:rPr>
          <w:sz w:val="20"/>
          <w:szCs w:val="20"/>
          <w:color w:val="auto"/>
        </w:rPr>
      </w:pPr>
      <w:r>
        <w:rPr>
          <w:rFonts w:ascii="Arial" w:cs="Arial" w:eastAsia="Arial" w:hAnsi="Arial"/>
          <w:sz w:val="18"/>
          <w:szCs w:val="18"/>
          <w:color w:val="auto"/>
        </w:rPr>
        <w:t>kontrollierte Gesellschaften ermächtigt,</w:t>
      </w:r>
    </w:p>
    <w:p>
      <w:pPr>
        <w:spacing w:after="0" w:line="235" w:lineRule="auto"/>
        <w:rPr>
          <w:sz w:val="20"/>
          <w:szCs w:val="20"/>
          <w:color w:val="auto"/>
        </w:rPr>
      </w:pPr>
      <w:r>
        <w:rPr>
          <w:rFonts w:ascii="Arial" w:cs="Arial" w:eastAsia="Arial" w:hAnsi="Arial"/>
          <w:sz w:val="18"/>
          <w:szCs w:val="18"/>
          <w:color w:val="auto"/>
        </w:rPr>
        <w:t>jeder solchen Person für die Dauer der</w:t>
      </w:r>
    </w:p>
    <w:p>
      <w:pPr>
        <w:spacing w:after="0" w:line="234" w:lineRule="auto"/>
        <w:rPr>
          <w:sz w:val="20"/>
          <w:szCs w:val="20"/>
          <w:color w:val="auto"/>
        </w:rPr>
      </w:pPr>
      <w:r>
        <w:rPr>
          <w:rFonts w:ascii="Arial" w:cs="Arial" w:eastAsia="Arial" w:hAnsi="Arial"/>
          <w:sz w:val="18"/>
          <w:szCs w:val="18"/>
          <w:color w:val="auto"/>
        </w:rPr>
        <w:t>bereits durch die Aktionäre an einer</w:t>
      </w:r>
    </w:p>
    <w:p>
      <w:pPr>
        <w:spacing w:after="0" w:line="235" w:lineRule="auto"/>
        <w:rPr>
          <w:sz w:val="20"/>
          <w:szCs w:val="20"/>
          <w:color w:val="auto"/>
        </w:rPr>
      </w:pPr>
      <w:r>
        <w:rPr>
          <w:rFonts w:ascii="Arial" w:cs="Arial" w:eastAsia="Arial" w:hAnsi="Arial"/>
          <w:sz w:val="18"/>
          <w:szCs w:val="18"/>
          <w:color w:val="auto"/>
        </w:rPr>
        <w:t>Generalversammlung genehmigten</w:t>
      </w:r>
    </w:p>
    <w:p>
      <w:pPr>
        <w:spacing w:after="0" w:line="235" w:lineRule="auto"/>
        <w:rPr>
          <w:sz w:val="20"/>
          <w:szCs w:val="20"/>
          <w:color w:val="auto"/>
        </w:rPr>
      </w:pPr>
      <w:r>
        <w:rPr>
          <w:rFonts w:ascii="Arial" w:cs="Arial" w:eastAsia="Arial" w:hAnsi="Arial"/>
          <w:sz w:val="18"/>
          <w:szCs w:val="18"/>
          <w:color w:val="auto"/>
        </w:rPr>
        <w:t>Vergütungsperiode(n) eine Vergütung</w:t>
      </w:r>
    </w:p>
    <w:p>
      <w:pPr>
        <w:spacing w:after="0" w:line="235" w:lineRule="auto"/>
        <w:rPr>
          <w:sz w:val="20"/>
          <w:szCs w:val="20"/>
          <w:color w:val="auto"/>
        </w:rPr>
      </w:pPr>
      <w:r>
        <w:rPr>
          <w:rFonts w:ascii="Arial" w:cs="Arial" w:eastAsia="Arial" w:hAnsi="Arial"/>
          <w:sz w:val="18"/>
          <w:szCs w:val="18"/>
          <w:color w:val="auto"/>
        </w:rPr>
        <w:t xml:space="preserve">(der </w:t>
      </w:r>
      <w:r>
        <w:rPr>
          <w:rFonts w:ascii="Arial" w:cs="Arial" w:eastAsia="Arial" w:hAnsi="Arial"/>
          <w:sz w:val="18"/>
          <w:szCs w:val="18"/>
          <w:b w:val="1"/>
          <w:bCs w:val="1"/>
          <w:color w:val="auto"/>
        </w:rPr>
        <w:t>Zusatzbetrag</w:t>
      </w:r>
      <w:r>
        <w:rPr>
          <w:rFonts w:ascii="Arial" w:cs="Arial" w:eastAsia="Arial" w:hAnsi="Arial"/>
          <w:sz w:val="18"/>
          <w:szCs w:val="18"/>
          <w:color w:val="auto"/>
        </w:rPr>
        <w:t>) zuzuteilen oder zu</w:t>
      </w:r>
    </w:p>
    <w:p>
      <w:pPr>
        <w:spacing w:after="0" w:line="235" w:lineRule="auto"/>
        <w:rPr>
          <w:sz w:val="20"/>
          <w:szCs w:val="20"/>
          <w:color w:val="auto"/>
        </w:rPr>
      </w:pPr>
      <w:r>
        <w:rPr>
          <w:rFonts w:ascii="Arial" w:cs="Arial" w:eastAsia="Arial" w:hAnsi="Arial"/>
          <w:sz w:val="18"/>
          <w:szCs w:val="18"/>
          <w:color w:val="auto"/>
        </w:rPr>
        <w:t>bezahlen, die keiner Genehmigung durch</w:t>
      </w:r>
    </w:p>
    <w:p>
      <w:pPr>
        <w:spacing w:after="0" w:line="234" w:lineRule="auto"/>
        <w:rPr>
          <w:sz w:val="20"/>
          <w:szCs w:val="20"/>
          <w:color w:val="auto"/>
        </w:rPr>
      </w:pPr>
      <w:r>
        <w:rPr>
          <w:rFonts w:ascii="Arial" w:cs="Arial" w:eastAsia="Arial" w:hAnsi="Arial"/>
          <w:sz w:val="18"/>
          <w:szCs w:val="18"/>
          <w:color w:val="auto"/>
        </w:rPr>
        <w:t>die Aktionäre unterliegt. Als Zusatzbetrag</w:t>
      </w:r>
    </w:p>
    <w:p>
      <w:pPr>
        <w:spacing w:after="0" w:line="235" w:lineRule="auto"/>
        <w:rPr>
          <w:sz w:val="20"/>
          <w:szCs w:val="20"/>
          <w:color w:val="auto"/>
        </w:rPr>
      </w:pPr>
      <w:r>
        <w:rPr>
          <w:rFonts w:ascii="Arial" w:cs="Arial" w:eastAsia="Arial" w:hAnsi="Arial"/>
          <w:sz w:val="18"/>
          <w:szCs w:val="18"/>
          <w:color w:val="auto"/>
        </w:rPr>
        <w:t>können die Gesellschaft oder von ihr</w:t>
      </w:r>
    </w:p>
    <w:p>
      <w:pPr>
        <w:spacing w:after="0" w:line="235" w:lineRule="auto"/>
        <w:rPr>
          <w:sz w:val="20"/>
          <w:szCs w:val="20"/>
          <w:color w:val="auto"/>
        </w:rPr>
      </w:pPr>
      <w:r>
        <w:rPr>
          <w:rFonts w:ascii="Arial" w:cs="Arial" w:eastAsia="Arial" w:hAnsi="Arial"/>
          <w:sz w:val="18"/>
          <w:szCs w:val="18"/>
          <w:color w:val="auto"/>
        </w:rPr>
        <w:t>kontrollierte Gesellschaften jeder solcher</w:t>
      </w:r>
    </w:p>
    <w:p>
      <w:pPr>
        <w:spacing w:after="0" w:line="235" w:lineRule="auto"/>
        <w:rPr>
          <w:sz w:val="20"/>
          <w:szCs w:val="20"/>
          <w:color w:val="auto"/>
        </w:rPr>
      </w:pPr>
      <w:r>
        <w:rPr>
          <w:rFonts w:ascii="Arial" w:cs="Arial" w:eastAsia="Arial" w:hAnsi="Arial"/>
          <w:sz w:val="18"/>
          <w:szCs w:val="18"/>
          <w:color w:val="auto"/>
        </w:rPr>
        <w:t>Person je relevante Vergütungsperiode</w:t>
      </w:r>
    </w:p>
    <w:p>
      <w:pPr>
        <w:spacing w:after="0" w:line="235" w:lineRule="auto"/>
        <w:rPr>
          <w:sz w:val="20"/>
          <w:szCs w:val="20"/>
          <w:color w:val="auto"/>
        </w:rPr>
      </w:pPr>
      <w:r>
        <w:rPr>
          <w:rFonts w:ascii="Arial" w:cs="Arial" w:eastAsia="Arial" w:hAnsi="Arial"/>
          <w:sz w:val="18"/>
          <w:szCs w:val="18"/>
          <w:color w:val="auto"/>
        </w:rPr>
        <w:t>für jeden der beiden nachfolgenden</w:t>
      </w:r>
    </w:p>
    <w:p>
      <w:pPr>
        <w:spacing w:after="0" w:line="234" w:lineRule="auto"/>
        <w:rPr>
          <w:sz w:val="20"/>
          <w:szCs w:val="20"/>
          <w:color w:val="auto"/>
        </w:rPr>
      </w:pPr>
      <w:r>
        <w:rPr>
          <w:rFonts w:ascii="Arial" w:cs="Arial" w:eastAsia="Arial" w:hAnsi="Arial"/>
          <w:sz w:val="18"/>
          <w:szCs w:val="18"/>
          <w:color w:val="auto"/>
        </w:rPr>
        <w:t>Zwecke je einen die</w:t>
      </w:r>
    </w:p>
    <w:p>
      <w:pPr>
        <w:spacing w:after="0" w:line="235" w:lineRule="auto"/>
        <w:rPr>
          <w:sz w:val="20"/>
          <w:szCs w:val="20"/>
          <w:color w:val="auto"/>
        </w:rPr>
      </w:pPr>
      <w:r>
        <w:rPr>
          <w:rFonts w:ascii="Arial" w:cs="Arial" w:eastAsia="Arial" w:hAnsi="Arial"/>
          <w:sz w:val="18"/>
          <w:szCs w:val="18"/>
          <w:color w:val="auto"/>
        </w:rPr>
        <w:t>Gesamtjahresvergütung des betreffenden</w:t>
      </w:r>
    </w:p>
    <w:p>
      <w:pPr>
        <w:spacing w:after="0" w:line="235" w:lineRule="auto"/>
        <w:rPr>
          <w:sz w:val="20"/>
          <w:szCs w:val="20"/>
          <w:color w:val="auto"/>
        </w:rPr>
      </w:pPr>
      <w:r>
        <w:rPr>
          <w:rFonts w:ascii="Arial" w:cs="Arial" w:eastAsia="Arial" w:hAnsi="Arial"/>
          <w:sz w:val="18"/>
          <w:szCs w:val="18"/>
          <w:color w:val="auto"/>
        </w:rPr>
        <w:t>Vorgängers bzw. für eine ähnliche</w:t>
      </w:r>
    </w:p>
    <w:p>
      <w:pPr>
        <w:spacing w:after="0" w:line="235" w:lineRule="auto"/>
        <w:rPr>
          <w:sz w:val="20"/>
          <w:szCs w:val="20"/>
          <w:color w:val="auto"/>
        </w:rPr>
      </w:pPr>
      <w:r>
        <w:rPr>
          <w:rFonts w:ascii="Arial" w:cs="Arial" w:eastAsia="Arial" w:hAnsi="Arial"/>
          <w:sz w:val="18"/>
          <w:szCs w:val="18"/>
          <w:color w:val="auto"/>
        </w:rPr>
        <w:t>vorbestehende Funktion um bis zu 40%</w:t>
      </w:r>
    </w:p>
    <w:p>
      <w:pPr>
        <w:spacing w:after="0" w:line="235" w:lineRule="auto"/>
        <w:rPr>
          <w:sz w:val="20"/>
          <w:szCs w:val="20"/>
          <w:color w:val="auto"/>
        </w:rPr>
      </w:pPr>
      <w:r>
        <w:rPr>
          <w:rFonts w:ascii="Arial" w:cs="Arial" w:eastAsia="Arial" w:hAnsi="Arial"/>
          <w:sz w:val="18"/>
          <w:szCs w:val="18"/>
          <w:color w:val="auto"/>
        </w:rPr>
        <w:t>übersteigenden Betrag zuteilen oder</w:t>
      </w:r>
    </w:p>
    <w:p>
      <w:pPr>
        <w:spacing w:after="0" w:line="234" w:lineRule="auto"/>
        <w:rPr>
          <w:sz w:val="20"/>
          <w:szCs w:val="20"/>
          <w:color w:val="auto"/>
        </w:rPr>
      </w:pPr>
      <w:r>
        <w:rPr>
          <w:rFonts w:ascii="Arial" w:cs="Arial" w:eastAsia="Arial" w:hAnsi="Arial"/>
          <w:sz w:val="18"/>
          <w:szCs w:val="18"/>
          <w:color w:val="auto"/>
        </w:rPr>
        <w:t>bezahlen: (1) als Vergütung für die</w:t>
      </w:r>
    </w:p>
    <w:p>
      <w:pPr>
        <w:spacing w:after="0" w:line="235" w:lineRule="auto"/>
        <w:rPr>
          <w:sz w:val="20"/>
          <w:szCs w:val="20"/>
          <w:color w:val="auto"/>
        </w:rPr>
      </w:pPr>
      <w:r>
        <w:rPr>
          <w:rFonts w:ascii="Arial" w:cs="Arial" w:eastAsia="Arial" w:hAnsi="Arial"/>
          <w:sz w:val="18"/>
          <w:szCs w:val="18"/>
          <w:color w:val="auto"/>
        </w:rPr>
        <w:t>relevante Vergütungsperiode; und</w:t>
      </w:r>
    </w:p>
    <w:p>
      <w:pPr>
        <w:spacing w:after="0" w:line="235" w:lineRule="auto"/>
        <w:rPr>
          <w:sz w:val="20"/>
          <w:szCs w:val="20"/>
          <w:color w:val="auto"/>
        </w:rPr>
      </w:pPr>
      <w:r>
        <w:rPr>
          <w:rFonts w:ascii="Arial" w:cs="Arial" w:eastAsia="Arial" w:hAnsi="Arial"/>
          <w:sz w:val="18"/>
          <w:szCs w:val="18"/>
          <w:color w:val="auto"/>
        </w:rPr>
        <w:t>zusätzlich (2) zum Ausgleich der</w:t>
      </w:r>
    </w:p>
    <w:p>
      <w:pPr>
        <w:spacing w:after="0" w:line="235" w:lineRule="auto"/>
        <w:rPr>
          <w:sz w:val="20"/>
          <w:szCs w:val="20"/>
          <w:color w:val="auto"/>
        </w:rPr>
      </w:pPr>
      <w:r>
        <w:rPr>
          <w:rFonts w:ascii="Arial" w:cs="Arial" w:eastAsia="Arial" w:hAnsi="Arial"/>
          <w:sz w:val="18"/>
          <w:szCs w:val="18"/>
          <w:color w:val="auto"/>
        </w:rPr>
        <w:t>Nachteile, die im Zusammenhang mit</w:t>
      </w:r>
    </w:p>
    <w:p>
      <w:pPr>
        <w:spacing w:after="0" w:line="235" w:lineRule="auto"/>
        <w:rPr>
          <w:sz w:val="20"/>
          <w:szCs w:val="20"/>
          <w:color w:val="auto"/>
        </w:rPr>
      </w:pPr>
      <w:r>
        <w:rPr>
          <w:rFonts w:ascii="Arial" w:cs="Arial" w:eastAsia="Arial" w:hAnsi="Arial"/>
          <w:sz w:val="18"/>
          <w:szCs w:val="18"/>
          <w:color w:val="auto"/>
        </w:rPr>
        <w:t>dem Stellenwechsel entstehen. Für die</w:t>
      </w:r>
    </w:p>
    <w:p>
      <w:pPr>
        <w:spacing w:after="0" w:line="234" w:lineRule="auto"/>
        <w:rPr>
          <w:sz w:val="20"/>
          <w:szCs w:val="20"/>
          <w:color w:val="auto"/>
        </w:rPr>
      </w:pPr>
      <w:r>
        <w:rPr>
          <w:rFonts w:ascii="Arial" w:cs="Arial" w:eastAsia="Arial" w:hAnsi="Arial"/>
          <w:sz w:val="18"/>
          <w:szCs w:val="18"/>
          <w:color w:val="auto"/>
        </w:rPr>
        <w:t>Zwecke dieser Bestimmung gilt als</w:t>
      </w:r>
    </w:p>
    <w:p>
      <w:pPr>
        <w:spacing w:after="0" w:line="235" w:lineRule="auto"/>
        <w:rPr>
          <w:sz w:val="20"/>
          <w:szCs w:val="20"/>
          <w:color w:val="auto"/>
        </w:rPr>
      </w:pPr>
      <w:r>
        <w:rPr>
          <w:rFonts w:ascii="Arial" w:cs="Arial" w:eastAsia="Arial" w:hAnsi="Arial"/>
          <w:sz w:val="18"/>
          <w:szCs w:val="18"/>
          <w:color w:val="auto"/>
        </w:rPr>
        <w:t>Gesamtjahresvergütung die im jüngsten</w:t>
      </w:r>
    </w:p>
    <w:p>
      <w:pPr>
        <w:spacing w:after="0" w:line="235" w:lineRule="auto"/>
        <w:rPr>
          <w:sz w:val="20"/>
          <w:szCs w:val="20"/>
          <w:color w:val="auto"/>
        </w:rPr>
      </w:pPr>
      <w:r>
        <w:rPr>
          <w:rFonts w:ascii="Arial" w:cs="Arial" w:eastAsia="Arial" w:hAnsi="Arial"/>
          <w:sz w:val="18"/>
          <w:szCs w:val="18"/>
          <w:color w:val="auto"/>
        </w:rPr>
        <w:t>Proxy Statement der Gesellschaft für das</w:t>
      </w:r>
    </w:p>
    <w:p>
      <w:pPr>
        <w:spacing w:after="0" w:line="235" w:lineRule="auto"/>
        <w:rPr>
          <w:sz w:val="20"/>
          <w:szCs w:val="20"/>
          <w:color w:val="auto"/>
        </w:rPr>
      </w:pPr>
      <w:r>
        <w:rPr>
          <w:rFonts w:ascii="Arial" w:cs="Arial" w:eastAsia="Arial" w:hAnsi="Arial"/>
          <w:sz w:val="18"/>
          <w:szCs w:val="18"/>
          <w:color w:val="auto"/>
        </w:rPr>
        <w:t>vorangehende Geschäftsjahr</w:t>
      </w:r>
    </w:p>
    <w:p>
      <w:pPr>
        <w:spacing w:after="0" w:line="235" w:lineRule="auto"/>
        <w:rPr>
          <w:sz w:val="20"/>
          <w:szCs w:val="20"/>
          <w:color w:val="auto"/>
        </w:rPr>
      </w:pPr>
      <w:r>
        <w:rPr>
          <w:rFonts w:ascii="Arial" w:cs="Arial" w:eastAsia="Arial" w:hAnsi="Arial"/>
          <w:sz w:val="18"/>
          <w:szCs w:val="18"/>
          <w:color w:val="auto"/>
        </w:rPr>
        <w:t>ausgewiesene Gesamtjahresvergütung</w:t>
      </w:r>
    </w:p>
    <w:p>
      <w:pPr>
        <w:spacing w:after="0" w:line="234" w:lineRule="auto"/>
        <w:rPr>
          <w:sz w:val="20"/>
          <w:szCs w:val="20"/>
          <w:color w:val="auto"/>
        </w:rPr>
      </w:pPr>
      <w:r>
        <w:rPr>
          <w:rFonts w:ascii="Arial" w:cs="Arial" w:eastAsia="Arial" w:hAnsi="Arial"/>
          <w:sz w:val="18"/>
          <w:szCs w:val="18"/>
          <w:color w:val="auto"/>
        </w:rPr>
        <w:t>des betreffenden Vorgängers bzw. für</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eine ähnliche vorbestehende Funktion; für</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die kurzfristige und langfristige Leistungs-</w:t>
      </w:r>
    </w:p>
    <w:p>
      <w:pPr>
        <w:spacing w:after="0" w:line="234" w:lineRule="auto"/>
        <w:rPr>
          <w:sz w:val="20"/>
          <w:szCs w:val="20"/>
          <w:color w:val="auto"/>
        </w:rPr>
      </w:pPr>
      <w:r>
        <w:rPr>
          <w:rFonts w:ascii="Arial" w:cs="Arial" w:eastAsia="Arial" w:hAnsi="Arial"/>
          <w:sz w:val="18"/>
          <w:szCs w:val="18"/>
          <w:color w:val="auto"/>
        </w:rPr>
        <w:t>oder Erfolgsvergütung ist dabei auf die</w:t>
      </w:r>
    </w:p>
    <w:p>
      <w:pPr>
        <w:spacing w:after="0" w:line="235" w:lineRule="auto"/>
        <w:rPr>
          <w:sz w:val="20"/>
          <w:szCs w:val="20"/>
          <w:color w:val="auto"/>
        </w:rPr>
      </w:pPr>
      <w:r>
        <w:rPr>
          <w:rFonts w:ascii="Arial" w:cs="Arial" w:eastAsia="Arial" w:hAnsi="Arial"/>
          <w:sz w:val="18"/>
          <w:szCs w:val="18"/>
          <w:color w:val="auto"/>
        </w:rPr>
        <w:t>tatsächlichen Werte oder, sofern höher,</w:t>
      </w:r>
    </w:p>
    <w:p>
      <w:pPr>
        <w:spacing w:after="0" w:line="235" w:lineRule="auto"/>
        <w:rPr>
          <w:sz w:val="20"/>
          <w:szCs w:val="20"/>
          <w:color w:val="auto"/>
        </w:rPr>
      </w:pPr>
      <w:r>
        <w:rPr>
          <w:rFonts w:ascii="Arial" w:cs="Arial" w:eastAsia="Arial" w:hAnsi="Arial"/>
          <w:sz w:val="18"/>
          <w:szCs w:val="18"/>
          <w:color w:val="auto"/>
        </w:rPr>
        <w:t>die Zielwerte der betreffenden</w:t>
      </w:r>
    </w:p>
    <w:p>
      <w:pPr>
        <w:spacing w:after="0" w:line="235" w:lineRule="auto"/>
        <w:rPr>
          <w:sz w:val="20"/>
          <w:szCs w:val="20"/>
          <w:color w:val="auto"/>
        </w:rPr>
      </w:pPr>
      <w:r>
        <w:rPr>
          <w:rFonts w:ascii="Arial" w:cs="Arial" w:eastAsia="Arial" w:hAnsi="Arial"/>
          <w:sz w:val="18"/>
          <w:szCs w:val="18"/>
          <w:color w:val="auto"/>
        </w:rPr>
        <w:t>Vergütungselemente abzustellen, je wie</w:t>
      </w:r>
    </w:p>
    <w:p>
      <w:pPr>
        <w:spacing w:after="0" w:line="235" w:lineRule="auto"/>
        <w:rPr>
          <w:sz w:val="20"/>
          <w:szCs w:val="20"/>
          <w:color w:val="auto"/>
        </w:rPr>
      </w:pPr>
      <w:r>
        <w:rPr>
          <w:rFonts w:ascii="Arial" w:cs="Arial" w:eastAsia="Arial" w:hAnsi="Arial"/>
          <w:sz w:val="18"/>
          <w:szCs w:val="18"/>
          <w:color w:val="auto"/>
        </w:rPr>
        <w:t>sie im jüngsten Proxy Statement der</w:t>
      </w:r>
    </w:p>
    <w:p>
      <w:pPr>
        <w:spacing w:after="0" w:line="234" w:lineRule="auto"/>
        <w:rPr>
          <w:sz w:val="20"/>
          <w:szCs w:val="20"/>
          <w:color w:val="auto"/>
        </w:rPr>
      </w:pPr>
      <w:r>
        <w:rPr>
          <w:rFonts w:ascii="Arial" w:cs="Arial" w:eastAsia="Arial" w:hAnsi="Arial"/>
          <w:sz w:val="18"/>
          <w:szCs w:val="18"/>
          <w:color w:val="auto"/>
        </w:rPr>
        <w:t>Gesellschaft für das vorangehende</w:t>
      </w:r>
    </w:p>
    <w:p>
      <w:pPr>
        <w:spacing w:after="0" w:line="235" w:lineRule="auto"/>
        <w:rPr>
          <w:sz w:val="20"/>
          <w:szCs w:val="20"/>
          <w:color w:val="auto"/>
        </w:rPr>
      </w:pPr>
      <w:r>
        <w:rPr>
          <w:rFonts w:ascii="Arial" w:cs="Arial" w:eastAsia="Arial" w:hAnsi="Arial"/>
          <w:sz w:val="18"/>
          <w:szCs w:val="18"/>
          <w:color w:val="auto"/>
        </w:rPr>
        <w:t>Geschäftsjahr ausgewiesen sind. Die</w:t>
      </w:r>
    </w:p>
    <w:p>
      <w:pPr>
        <w:spacing w:after="0" w:line="235" w:lineRule="auto"/>
        <w:rPr>
          <w:sz w:val="20"/>
          <w:szCs w:val="20"/>
          <w:color w:val="auto"/>
        </w:rPr>
      </w:pPr>
      <w:r>
        <w:rPr>
          <w:rFonts w:ascii="Arial" w:cs="Arial" w:eastAsia="Arial" w:hAnsi="Arial"/>
          <w:sz w:val="18"/>
          <w:szCs w:val="18"/>
          <w:color w:val="auto"/>
        </w:rPr>
        <w:t>Gesellschaft oder von ihr kontrollierte</w:t>
      </w:r>
    </w:p>
    <w:p>
      <w:pPr>
        <w:spacing w:after="0" w:line="235" w:lineRule="auto"/>
        <w:rPr>
          <w:sz w:val="20"/>
          <w:szCs w:val="20"/>
          <w:color w:val="auto"/>
        </w:rPr>
      </w:pPr>
      <w:r>
        <w:rPr>
          <w:rFonts w:ascii="Arial" w:cs="Arial" w:eastAsia="Arial" w:hAnsi="Arial"/>
          <w:sz w:val="18"/>
          <w:szCs w:val="18"/>
          <w:color w:val="auto"/>
        </w:rPr>
        <w:t>Gesellschaften dürfen gestützt auf die</w:t>
      </w:r>
    </w:p>
    <w:p>
      <w:pPr>
        <w:spacing w:after="0" w:line="235" w:lineRule="auto"/>
        <w:rPr>
          <w:sz w:val="20"/>
          <w:szCs w:val="20"/>
          <w:color w:val="auto"/>
        </w:rPr>
      </w:pPr>
      <w:r>
        <w:rPr>
          <w:rFonts w:ascii="Arial" w:cs="Arial" w:eastAsia="Arial" w:hAnsi="Arial"/>
          <w:sz w:val="18"/>
          <w:szCs w:val="18"/>
          <w:color w:val="auto"/>
        </w:rPr>
        <w:t>Bestimmung dieses Artikel 29c je</w:t>
      </w:r>
    </w:p>
    <w:p>
      <w:pPr>
        <w:spacing w:after="0" w:line="234" w:lineRule="auto"/>
        <w:rPr>
          <w:sz w:val="20"/>
          <w:szCs w:val="20"/>
          <w:color w:val="auto"/>
        </w:rPr>
      </w:pPr>
      <w:r>
        <w:rPr>
          <w:rFonts w:ascii="Arial" w:cs="Arial" w:eastAsia="Arial" w:hAnsi="Arial"/>
          <w:sz w:val="18"/>
          <w:szCs w:val="18"/>
          <w:color w:val="auto"/>
        </w:rPr>
        <w:t>relevante Vergütungsperiode keinesfalls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an mehr als fünf (5)</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line="250" w:lineRule="auto"/>
        <w:rPr>
          <w:sz w:val="20"/>
          <w:szCs w:val="20"/>
          <w:color w:val="auto"/>
        </w:rPr>
      </w:pPr>
      <w:r>
        <w:rPr>
          <w:rFonts w:ascii="Arial" w:cs="Arial" w:eastAsia="Arial" w:hAnsi="Arial"/>
          <w:sz w:val="14"/>
          <w:szCs w:val="14"/>
          <w:color w:val="auto"/>
        </w:rPr>
        <w:t>Supplementary Amount for Changes to the Executive Management Team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-3057525</wp:posOffset>
            </wp:positionH>
            <wp:positionV relativeFrom="paragraph">
              <wp:posOffset>6430645</wp:posOffset>
            </wp:positionV>
            <wp:extent cx="629221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 xml:space="preserve">If the maximum aggregate amount of compensation of the Executive Management Team ratified by shareholders at a General Meeting of Shareholders is not sufficient to also cover the compensation of a person who newly assumes an Executive Management Team function during a compensation period for which shareholder ratification has already been granted, the Company or companies under its control shall be authorized to grant or pay, in relation to the compensation period(s) already ratified by the shareholders at a General Meeting of Shareholders, to each such person compensation (the </w:t>
      </w:r>
      <w:r>
        <w:rPr>
          <w:rFonts w:ascii="Arial" w:cs="Arial" w:eastAsia="Arial" w:hAnsi="Arial"/>
          <w:sz w:val="17"/>
          <w:szCs w:val="17"/>
          <w:b w:val="1"/>
          <w:bCs w:val="1"/>
          <w:color w:val="auto"/>
        </w:rPr>
        <w:t>Supplementary</w:t>
      </w:r>
      <w:r>
        <w:rPr>
          <w:rFonts w:ascii="Arial" w:cs="Arial" w:eastAsia="Arial" w:hAnsi="Arial"/>
          <w:sz w:val="17"/>
          <w:szCs w:val="17"/>
          <w:color w:val="auto"/>
        </w:rPr>
        <w:t xml:space="preserve"> </w:t>
      </w:r>
      <w:r>
        <w:rPr>
          <w:rFonts w:ascii="Arial" w:cs="Arial" w:eastAsia="Arial" w:hAnsi="Arial"/>
          <w:sz w:val="17"/>
          <w:szCs w:val="17"/>
          <w:b w:val="1"/>
          <w:bCs w:val="1"/>
          <w:color w:val="auto"/>
        </w:rPr>
        <w:t>Amount</w:t>
      </w:r>
      <w:r>
        <w:rPr>
          <w:rFonts w:ascii="Arial" w:cs="Arial" w:eastAsia="Arial" w:hAnsi="Arial"/>
          <w:sz w:val="17"/>
          <w:szCs w:val="17"/>
          <w:color w:val="auto"/>
        </w:rPr>
        <w:t>), which shall not be subject to</w:t>
      </w:r>
      <w:r>
        <w:rPr>
          <w:rFonts w:ascii="Arial" w:cs="Arial" w:eastAsia="Arial" w:hAnsi="Arial"/>
          <w:sz w:val="17"/>
          <w:szCs w:val="17"/>
          <w:b w:val="1"/>
          <w:bCs w:val="1"/>
          <w:color w:val="auto"/>
        </w:rPr>
        <w:t xml:space="preserve"> </w:t>
      </w:r>
      <w:r>
        <w:rPr>
          <w:rFonts w:ascii="Arial" w:cs="Arial" w:eastAsia="Arial" w:hAnsi="Arial"/>
          <w:sz w:val="17"/>
          <w:szCs w:val="17"/>
          <w:color w:val="auto"/>
        </w:rPr>
        <w:t>ratification by the shareholders. The Company or companies under its control may grant or pay as Supplementary Amount to each such person for each relevant compensation period for each of the following two purposes a separate amount of up to 40% in excess of the Total Annual Compensation of the respective predecessor or for a similar preexisting position: (1) as compensation for the relevant compensation period; and, in addition, (2) as compensation for any prejudice incurred in connection with the change of employment. For purposes of this provision, Total Annual Compensation shall mean the total annual compensation of the respective predecessor or for a similar preexisting position as disclosed in the most recent proxy statement of the Company in relation to the preceding fiscal year; for such purposes, short-term and long-term incentive compensation shall be included on the basis of the actual values or, if higher, the target values of the respective compensation elements, in each case as disclosed in the most recent proxy statement of the Company in relation to the preceding fiscal year. On the basis of this Article 29c, the Company or companies under its control may in no event grant or pay, in each relevant compensation period, a Supplementary Amount to more</w:t>
      </w:r>
    </w:p>
    <w:p>
      <w:pPr>
        <w:sectPr>
          <w:pgSz w:w="11900" w:h="16838" w:orient="portrait"/>
          <w:cols w:equalWidth="0" w:num="4">
            <w:col w:w="840" w:space="360"/>
            <w:col w:w="3340" w:space="140"/>
            <w:col w:w="980" w:space="360"/>
            <w:col w:w="3300"/>
          </w:cols>
          <w:pgMar w:left="1220" w:top="670" w:right="1359" w:bottom="1440" w:gutter="0" w:footer="0" w:header="0"/>
          <w:type w:val="continuous"/>
        </w:sectPr>
      </w:pPr>
    </w:p>
    <w:bookmarkStart w:id="43" w:name="page44"/>
    <w:bookmarkEnd w:id="43"/>
    <w:p>
      <w:pPr>
        <w:jc w:val="center"/>
        <w:ind w:right="-299"/>
        <w:spacing w:after="0"/>
        <w:rPr>
          <w:sz w:val="20"/>
          <w:szCs w:val="20"/>
          <w:color w:val="auto"/>
        </w:rPr>
      </w:pPr>
      <w:r>
        <w:rPr>
          <w:rFonts w:ascii="Arial" w:cs="Arial" w:eastAsia="Arial" w:hAnsi="Arial"/>
          <w:sz w:val="13"/>
          <w:szCs w:val="13"/>
          <w:color w:val="auto"/>
        </w:rPr>
        <w:t>- 36 -</w:t>
      </w:r>
    </w:p>
    <w:p>
      <w:pPr>
        <w:sectPr>
          <w:pgSz w:w="11900" w:h="16838" w:orient="portrait"/>
          <w:cols w:equalWidth="0" w:num="1">
            <w:col w:w="9340"/>
          </w:cols>
          <w:pgMar w:left="1220" w:top="670"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00" w:right="740"/>
        <w:spacing w:after="0" w:line="247" w:lineRule="auto"/>
        <w:rPr>
          <w:sz w:val="20"/>
          <w:szCs w:val="20"/>
          <w:color w:val="auto"/>
        </w:rPr>
      </w:pPr>
      <w:r>
        <w:rPr>
          <w:rFonts w:ascii="Arial" w:cs="Arial" w:eastAsia="Arial" w:hAnsi="Arial"/>
          <w:sz w:val="18"/>
          <w:szCs w:val="18"/>
          <w:color w:val="auto"/>
        </w:rPr>
        <w:t>Personen einen Zusatzbetrag im Rahmen der Maximalwerte gemäss der Bestimmung dieses Artikels 29c zuteilen oder bezahlen.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294005</wp:posOffset>
            </wp:positionV>
            <wp:extent cx="221996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219960" cy="825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ind w:left="1200"/>
        <w:spacing w:after="0"/>
        <w:rPr>
          <w:sz w:val="20"/>
          <w:szCs w:val="20"/>
          <w:color w:val="auto"/>
        </w:rPr>
      </w:pPr>
      <w:r>
        <w:rPr>
          <w:rFonts w:ascii="Arial" w:cs="Arial" w:eastAsia="Arial" w:hAnsi="Arial"/>
          <w:sz w:val="18"/>
          <w:szCs w:val="18"/>
          <w:b w:val="1"/>
          <w:bCs w:val="1"/>
          <w:color w:val="auto"/>
        </w:rPr>
        <w:t>Abschnitt 3b:</w:t>
      </w:r>
    </w:p>
    <w:p>
      <w:pPr>
        <w:spacing w:after="0" w:line="14" w:lineRule="exact"/>
        <w:rPr>
          <w:sz w:val="20"/>
          <w:szCs w:val="20"/>
          <w:color w:val="auto"/>
        </w:rPr>
      </w:pPr>
    </w:p>
    <w:p>
      <w:pPr>
        <w:ind w:left="1200" w:right="760"/>
        <w:spacing w:after="0" w:line="242" w:lineRule="auto"/>
        <w:rPr>
          <w:sz w:val="20"/>
          <w:szCs w:val="20"/>
          <w:color w:val="auto"/>
        </w:rPr>
      </w:pPr>
      <w:r>
        <w:rPr>
          <w:rFonts w:ascii="Arial" w:cs="Arial" w:eastAsia="Arial" w:hAnsi="Arial"/>
          <w:sz w:val="18"/>
          <w:szCs w:val="18"/>
          <w:i w:val="1"/>
          <w:iCs w:val="1"/>
          <w:color w:val="auto"/>
        </w:rPr>
        <w:t>Verträge betreffend Vergütung mit Mitgliedern des Verwaltungsrates und der Geschäftsleitung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22860</wp:posOffset>
            </wp:positionV>
            <wp:extent cx="221996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219960" cy="8255"/>
                    </a:xfrm>
                    <a:prstGeom prst="rect">
                      <a:avLst/>
                    </a:prstGeom>
                    <a:noFill/>
                  </pic:spPr>
                </pic:pic>
              </a:graphicData>
            </a:graphic>
          </wp:anchor>
        </w:drawing>
      </w:r>
    </w:p>
    <w:p>
      <w:pPr>
        <w:spacing w:after="0" w:line="65" w:lineRule="exact"/>
        <w:rPr>
          <w:sz w:val="20"/>
          <w:szCs w:val="20"/>
          <w:color w:val="auto"/>
        </w:rPr>
      </w:pPr>
    </w:p>
    <w:p>
      <w:pPr>
        <w:ind w:left="1200"/>
        <w:spacing w:after="0"/>
        <w:rPr>
          <w:sz w:val="20"/>
          <w:szCs w:val="20"/>
          <w:color w:val="auto"/>
        </w:rPr>
      </w:pPr>
      <w:r>
        <w:rPr>
          <w:rFonts w:ascii="Arial" w:cs="Arial" w:eastAsia="Arial" w:hAnsi="Arial"/>
          <w:sz w:val="18"/>
          <w:szCs w:val="18"/>
          <w:b w:val="1"/>
          <w:bCs w:val="1"/>
          <w:color w:val="auto"/>
        </w:rPr>
        <w:t>Artikel 29d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0"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than five (5) persons within the limitations of the maximum values pursuant to the provision of this Article 29c.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408305</wp:posOffset>
            </wp:positionV>
            <wp:extent cx="221170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3b:</w:t>
      </w:r>
    </w:p>
    <w:p>
      <w:pPr>
        <w:spacing w:after="0" w:line="14" w:lineRule="exact"/>
        <w:rPr>
          <w:sz w:val="20"/>
          <w:szCs w:val="20"/>
          <w:color w:val="auto"/>
        </w:rPr>
      </w:pPr>
    </w:p>
    <w:p>
      <w:pPr>
        <w:ind w:right="200"/>
        <w:spacing w:after="0" w:line="264" w:lineRule="auto"/>
        <w:rPr>
          <w:sz w:val="20"/>
          <w:szCs w:val="20"/>
          <w:color w:val="auto"/>
        </w:rPr>
      </w:pPr>
      <w:r>
        <w:rPr>
          <w:rFonts w:ascii="Arial" w:cs="Arial" w:eastAsia="Arial" w:hAnsi="Arial"/>
          <w:sz w:val="17"/>
          <w:szCs w:val="17"/>
          <w:i w:val="1"/>
          <w:iCs w:val="1"/>
          <w:color w:val="auto"/>
        </w:rPr>
        <w:t>Agreements Regarding Compensation With Members of the Board of Directors and the Executive Management Team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10795</wp:posOffset>
            </wp:positionV>
            <wp:extent cx="221170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29d</w:t>
      </w:r>
    </w:p>
    <w:p>
      <w:pPr>
        <w:spacing w:after="0" w:line="158" w:lineRule="exact"/>
        <w:rPr>
          <w:sz w:val="20"/>
          <w:szCs w:val="20"/>
          <w:color w:val="auto"/>
        </w:rPr>
      </w:pPr>
    </w:p>
    <w:p>
      <w:pPr>
        <w:sectPr>
          <w:pgSz w:w="11900" w:h="16838" w:orient="portrait"/>
          <w:cols w:equalWidth="0" w:num="2">
            <w:col w:w="5260" w:space="720"/>
            <w:col w:w="3360"/>
          </w:cols>
          <w:pgMar w:left="1220" w:top="670" w:right="1339" w:bottom="1440" w:gutter="0" w:footer="0" w:header="0"/>
          <w:type w:val="continuous"/>
        </w:sectPr>
      </w:pPr>
    </w:p>
    <w:p>
      <w:pPr>
        <w:spacing w:after="0" w:line="63" w:lineRule="exact"/>
        <w:rPr>
          <w:sz w:val="20"/>
          <w:szCs w:val="20"/>
          <w:color w:val="auto"/>
        </w:rPr>
      </w:pPr>
    </w:p>
    <w:p>
      <w:pPr>
        <w:spacing w:after="0"/>
        <w:rPr>
          <w:sz w:val="20"/>
          <w:szCs w:val="20"/>
          <w:color w:val="auto"/>
        </w:rPr>
      </w:pPr>
      <w:r>
        <w:rPr>
          <w:rFonts w:ascii="Arial" w:cs="Arial" w:eastAsia="Arial" w:hAnsi="Arial"/>
          <w:sz w:val="14"/>
          <w:szCs w:val="14"/>
          <w:color w:val="auto"/>
        </w:rPr>
        <w:t>Verträge</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betreffend</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Vergütung</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mit</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Mitgliedern</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des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Verwaltungs-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rates und</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der</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Geschäfts-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leitung</w:t>
      </w:r>
    </w:p>
    <w:p>
      <w:pPr>
        <w:spacing w:after="0" w:line="20" w:lineRule="exact"/>
        <w:rPr>
          <w:sz w:val="20"/>
          <w:szCs w:val="20"/>
          <w:color w:val="auto"/>
        </w:rPr>
      </w:pPr>
      <w:r>
        <w:rPr>
          <w:sz w:val="20"/>
          <w:szCs w:val="20"/>
          <w:color w:val="auto"/>
        </w:rPr>
        <w:br w:type="column"/>
      </w:r>
    </w:p>
    <w:p>
      <w:pPr>
        <w:jc w:val="both"/>
        <w:ind w:left="237" w:hanging="237"/>
        <w:spacing w:after="0" w:line="238" w:lineRule="auto"/>
        <w:tabs>
          <w:tab w:leader="none" w:pos="237" w:val="left"/>
        </w:tabs>
        <w:numPr>
          <w:ilvl w:val="0"/>
          <w:numId w:val="167"/>
        </w:numPr>
        <w:rPr>
          <w:rFonts w:ascii="Arial" w:cs="Arial" w:eastAsia="Arial" w:hAnsi="Arial"/>
          <w:sz w:val="29"/>
          <w:szCs w:val="29"/>
          <w:color w:val="auto"/>
          <w:vertAlign w:val="subscript"/>
        </w:rPr>
      </w:pPr>
      <w:r>
        <w:rPr>
          <w:rFonts w:ascii="Arial" w:cs="Arial" w:eastAsia="Arial" w:hAnsi="Arial"/>
          <w:sz w:val="18"/>
          <w:szCs w:val="18"/>
          <w:color w:val="auto"/>
        </w:rPr>
        <w:t>Die Gesellschaft oder von ihr kontrollierte Gesellschaften können mit Mitgliedern des Verwaltungsrates unbefristete oder befristete Mandatsverträge oder andere Verträge über deren Vergütung als Verwaltungsräte abschliessen. Die Dauer von befristeten Verträgen darf die Amtsdauer eines Verwaltungsrates nicht überschreiten. Eine Erneuerung eines befristeten Vertrags ist zulässig. Unbefristete Verträge haben eine Kündigungsfrist von maximal einer Amtsdauer.</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line="245" w:lineRule="auto"/>
        <w:rPr>
          <w:sz w:val="20"/>
          <w:szCs w:val="20"/>
          <w:color w:val="auto"/>
        </w:rPr>
      </w:pPr>
      <w:r>
        <w:rPr>
          <w:rFonts w:ascii="Arial" w:cs="Arial" w:eastAsia="Arial" w:hAnsi="Arial"/>
          <w:sz w:val="14"/>
          <w:szCs w:val="14"/>
          <w:color w:val="auto"/>
        </w:rPr>
        <w:t>Agreements 1 Regarding Compensation With Members of the Board</w:t>
      </w:r>
    </w:p>
    <w:p>
      <w:pPr>
        <w:spacing w:after="0" w:line="2" w:lineRule="exact"/>
        <w:rPr>
          <w:sz w:val="20"/>
          <w:szCs w:val="20"/>
          <w:color w:val="auto"/>
        </w:rPr>
      </w:pPr>
    </w:p>
    <w:p>
      <w:pPr>
        <w:ind w:right="320"/>
        <w:spacing w:after="0" w:line="247" w:lineRule="auto"/>
        <w:rPr>
          <w:sz w:val="20"/>
          <w:szCs w:val="20"/>
          <w:color w:val="auto"/>
        </w:rPr>
      </w:pPr>
      <w:r>
        <w:rPr>
          <w:rFonts w:ascii="Arial" w:cs="Arial" w:eastAsia="Arial" w:hAnsi="Arial"/>
          <w:sz w:val="14"/>
          <w:szCs w:val="14"/>
          <w:color w:val="auto"/>
        </w:rPr>
        <w:t>of Directors and the Executive Management Team</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Company or companies under its control may enter into mandate or other agreements with the members of the Board of Directors regarding their compensation as directors for a fixed term or for an indefinite term. The duration of fixed term agreements may not exceed a director’s term of office. A renewal of a fixed term agreement is permissible. Agreements for an indefinite term may have a termination notice period not exceeding a term of office.</w:t>
      </w:r>
    </w:p>
    <w:p>
      <w:pPr>
        <w:spacing w:after="0" w:line="317" w:lineRule="exact"/>
        <w:rPr>
          <w:sz w:val="20"/>
          <w:szCs w:val="20"/>
          <w:color w:val="auto"/>
        </w:rPr>
      </w:pPr>
    </w:p>
    <w:p>
      <w:pPr>
        <w:sectPr>
          <w:pgSz w:w="11900" w:h="16838" w:orient="portrait"/>
          <w:cols w:equalWidth="0" w:num="4">
            <w:col w:w="820" w:space="143"/>
            <w:col w:w="3597" w:space="120"/>
            <w:col w:w="1160" w:space="140"/>
            <w:col w:w="3360"/>
          </w:cols>
          <w:pgMar w:left="1220" w:top="670" w:right="1339" w:bottom="1440" w:gutter="0" w:footer="0" w:header="0"/>
          <w:type w:val="continuous"/>
        </w:sectPr>
      </w:pPr>
    </w:p>
    <w:p>
      <w:pPr>
        <w:ind w:left="1200" w:right="476" w:hanging="237"/>
        <w:spacing w:after="0" w:line="226" w:lineRule="auto"/>
        <w:tabs>
          <w:tab w:leader="none" w:pos="1200" w:val="left"/>
        </w:tabs>
        <w:numPr>
          <w:ilvl w:val="0"/>
          <w:numId w:val="168"/>
        </w:numPr>
        <w:rPr>
          <w:rFonts w:ascii="Arial" w:cs="Arial" w:eastAsia="Arial" w:hAnsi="Arial"/>
          <w:sz w:val="29"/>
          <w:szCs w:val="29"/>
          <w:color w:val="auto"/>
          <w:vertAlign w:val="superscript"/>
        </w:rPr>
      </w:pPr>
      <w:r>
        <w:rPr>
          <w:rFonts w:ascii="Arial" w:cs="Arial" w:eastAsia="Arial" w:hAnsi="Arial"/>
          <w:sz w:val="18"/>
          <w:szCs w:val="18"/>
          <w:color w:val="auto"/>
        </w:rPr>
        <w:t>Die Gesellschaft oder von ihr kontrollierte Gesellschaften können mit Mitgliedern der Geschäftsleitung unbefristete oder befristete Arbeitsverträge oder andere Verträge über ihre Vergütung als Mitglieder der Geschäftsleitung abschliessen. Die maximale Dauer eines befristeten Vertrags beträgt ein (1) Jahr. Eine Erneuerung eines befristeten Vertrags ist zulässig. Unbefristete Verträge haben eine Kündigungsfrist von maximal zwölf (12) Monaten.</w:t>
      </w:r>
    </w:p>
    <w:p>
      <w:pPr>
        <w:spacing w:after="0" w:line="20" w:lineRule="exact"/>
        <w:rPr>
          <w:sz w:val="20"/>
          <w:szCs w:val="20"/>
          <w:color w:val="auto"/>
        </w:rPr>
      </w:pPr>
      <w:r>
        <w:rPr>
          <w:sz w:val="20"/>
          <w:szCs w:val="20"/>
          <w:color w:val="auto"/>
        </w:rPr>
        <w:br w:type="column"/>
      </w:r>
    </w:p>
    <w:p>
      <w:pPr>
        <w:ind w:left="224" w:right="20" w:hanging="224"/>
        <w:spacing w:after="0" w:line="227" w:lineRule="auto"/>
        <w:tabs>
          <w:tab w:leader="none" w:pos="224" w:val="left"/>
        </w:tabs>
        <w:numPr>
          <w:ilvl w:val="0"/>
          <w:numId w:val="169"/>
        </w:numPr>
        <w:rPr>
          <w:rFonts w:ascii="Arial" w:cs="Arial" w:eastAsia="Arial" w:hAnsi="Arial"/>
          <w:sz w:val="29"/>
          <w:szCs w:val="29"/>
          <w:color w:val="auto"/>
          <w:vertAlign w:val="superscript"/>
        </w:rPr>
      </w:pPr>
      <w:r>
        <w:rPr>
          <w:rFonts w:ascii="Arial" w:cs="Arial" w:eastAsia="Arial" w:hAnsi="Arial"/>
          <w:sz w:val="18"/>
          <w:szCs w:val="18"/>
          <w:color w:val="auto"/>
        </w:rPr>
        <w:t>The Company or companies under its control may enter into employment or other agreements with the members of the Executive Management Team regarding their compensation as members of the Executive Management Team for a fixed term or for an indefinite term. The duration of fixed term agreements may not exceed one (1) year. A renewal of a fixed term agreement is permissible. Agreements for an indefinite term may have a termination notice period of a maximum of twelve (12) months.</w:t>
      </w:r>
    </w:p>
    <w:p>
      <w:pPr>
        <w:spacing w:after="0" w:line="83" w:lineRule="exact"/>
        <w:rPr>
          <w:sz w:val="20"/>
          <w:szCs w:val="20"/>
          <w:color w:val="auto"/>
        </w:rPr>
      </w:pPr>
    </w:p>
    <w:p>
      <w:pPr>
        <w:sectPr>
          <w:pgSz w:w="11900" w:h="16838" w:orient="portrait"/>
          <w:cols w:equalWidth="0" w:num="2">
            <w:col w:w="5036" w:space="720"/>
            <w:col w:w="3584"/>
          </w:cols>
          <w:pgMar w:left="1220" w:top="670" w:right="1339" w:bottom="1440" w:gutter="0" w:footer="0" w:header="0"/>
          <w:type w:val="continuous"/>
        </w:sectPr>
      </w:pPr>
    </w:p>
    <w:p>
      <w:pPr>
        <w:ind w:left="1200" w:right="716" w:hanging="237"/>
        <w:spacing w:after="0" w:line="233" w:lineRule="auto"/>
        <w:tabs>
          <w:tab w:leader="none" w:pos="1200" w:val="left"/>
        </w:tabs>
        <w:numPr>
          <w:ilvl w:val="0"/>
          <w:numId w:val="170"/>
        </w:numPr>
        <w:rPr>
          <w:rFonts w:ascii="Arial" w:cs="Arial" w:eastAsia="Arial" w:hAnsi="Arial"/>
          <w:sz w:val="28"/>
          <w:szCs w:val="28"/>
          <w:color w:val="auto"/>
          <w:vertAlign w:val="superscript"/>
        </w:rPr>
      </w:pPr>
      <w:r>
        <w:rPr>
          <w:rFonts w:ascii="Arial" w:cs="Arial" w:eastAsia="Arial" w:hAnsi="Arial"/>
          <w:sz w:val="17"/>
          <w:szCs w:val="17"/>
          <w:color w:val="auto"/>
        </w:rPr>
        <w:t>Mitglieder der Geschäftsleitung können während der Kündigungsfrist von ihrer Arbeitspflicht befreit werden. Des Weiteren ist es zulässig, dass die Gesellschaft oder von ihr kontrollierte Gesellschaften Aufhebungs- oder ähnliche Vereinbarungen abschliessen.</w:t>
      </w:r>
    </w:p>
    <w:p>
      <w:pPr>
        <w:spacing w:after="0" w:line="74" w:lineRule="exact"/>
        <w:rPr>
          <w:sz w:val="20"/>
          <w:szCs w:val="20"/>
          <w:color w:val="auto"/>
        </w:rPr>
      </w:pPr>
    </w:p>
    <w:p>
      <w:pPr>
        <w:ind w:left="1200" w:right="476" w:hanging="237"/>
        <w:spacing w:after="0" w:line="206" w:lineRule="auto"/>
        <w:tabs>
          <w:tab w:leader="none" w:pos="1200" w:val="left"/>
        </w:tabs>
        <w:numPr>
          <w:ilvl w:val="0"/>
          <w:numId w:val="171"/>
        </w:numPr>
        <w:rPr>
          <w:rFonts w:ascii="Arial" w:cs="Arial" w:eastAsia="Arial" w:hAnsi="Arial"/>
          <w:sz w:val="29"/>
          <w:szCs w:val="29"/>
          <w:color w:val="auto"/>
          <w:vertAlign w:val="superscript"/>
        </w:rPr>
      </w:pPr>
      <w:r>
        <w:rPr>
          <w:rFonts w:ascii="Arial" w:cs="Arial" w:eastAsia="Arial" w:hAnsi="Arial"/>
          <w:sz w:val="18"/>
          <w:szCs w:val="18"/>
          <w:color w:val="auto"/>
        </w:rPr>
        <w:t>Die Gesellschaft oder von ihr kontrollierte Gesellschaften können mit Mitgliedern der Geschäftsleitung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367665</wp:posOffset>
            </wp:positionV>
            <wp:extent cx="629221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224" w:right="60" w:hanging="224"/>
        <w:spacing w:after="0" w:line="221" w:lineRule="auto"/>
        <w:tabs>
          <w:tab w:leader="none" w:pos="224" w:val="left"/>
        </w:tabs>
        <w:numPr>
          <w:ilvl w:val="0"/>
          <w:numId w:val="172"/>
        </w:numPr>
        <w:rPr>
          <w:rFonts w:ascii="Arial" w:cs="Arial" w:eastAsia="Arial" w:hAnsi="Arial"/>
          <w:sz w:val="29"/>
          <w:szCs w:val="29"/>
          <w:color w:val="auto"/>
          <w:vertAlign w:val="superscript"/>
        </w:rPr>
      </w:pPr>
      <w:r>
        <w:rPr>
          <w:rFonts w:ascii="Arial" w:cs="Arial" w:eastAsia="Arial" w:hAnsi="Arial"/>
          <w:sz w:val="18"/>
          <w:szCs w:val="18"/>
          <w:color w:val="auto"/>
        </w:rPr>
        <w:t>Members of the Executive Management Team may be released from their obligation of work during the period of the termination notice period. Further, it shall be permissible for the Company or companies under its control to enter into termination or similar agreements.</w:t>
      </w:r>
    </w:p>
    <w:p>
      <w:pPr>
        <w:spacing w:after="0" w:line="75" w:lineRule="exact"/>
        <w:rPr>
          <w:sz w:val="20"/>
          <w:szCs w:val="20"/>
          <w:color w:val="auto"/>
        </w:rPr>
      </w:pPr>
    </w:p>
    <w:p>
      <w:pPr>
        <w:jc w:val="both"/>
        <w:ind w:left="224" w:right="300" w:hanging="224"/>
        <w:spacing w:after="0" w:line="216" w:lineRule="auto"/>
        <w:tabs>
          <w:tab w:leader="none" w:pos="224" w:val="left"/>
        </w:tabs>
        <w:numPr>
          <w:ilvl w:val="0"/>
          <w:numId w:val="173"/>
        </w:numPr>
        <w:rPr>
          <w:rFonts w:ascii="Arial" w:cs="Arial" w:eastAsia="Arial" w:hAnsi="Arial"/>
          <w:sz w:val="28"/>
          <w:szCs w:val="28"/>
          <w:color w:val="auto"/>
          <w:vertAlign w:val="superscript"/>
        </w:rPr>
      </w:pPr>
      <w:r>
        <w:rPr>
          <w:rFonts w:ascii="Arial" w:cs="Arial" w:eastAsia="Arial" w:hAnsi="Arial"/>
          <w:sz w:val="17"/>
          <w:szCs w:val="17"/>
          <w:color w:val="auto"/>
        </w:rPr>
        <w:t>The Company or companies under its control may enter into non-competition agreements with members of the</w:t>
      </w:r>
    </w:p>
    <w:p>
      <w:pPr>
        <w:sectPr>
          <w:pgSz w:w="11900" w:h="16838" w:orient="portrait"/>
          <w:cols w:equalWidth="0" w:num="2">
            <w:col w:w="5036" w:space="720"/>
            <w:col w:w="3584"/>
          </w:cols>
          <w:pgMar w:left="1220" w:top="670" w:right="1339" w:bottom="1440" w:gutter="0" w:footer="0" w:header="0"/>
          <w:type w:val="continuous"/>
        </w:sectPr>
      </w:pPr>
    </w:p>
    <w:bookmarkStart w:id="44" w:name="page45"/>
    <w:bookmarkEnd w:id="44"/>
    <w:p>
      <w:pPr>
        <w:jc w:val="center"/>
        <w:ind w:right="-339"/>
        <w:spacing w:after="0"/>
        <w:rPr>
          <w:sz w:val="20"/>
          <w:szCs w:val="20"/>
          <w:color w:val="auto"/>
        </w:rPr>
      </w:pPr>
      <w:r>
        <w:rPr>
          <w:rFonts w:ascii="Arial" w:cs="Arial" w:eastAsia="Arial" w:hAnsi="Arial"/>
          <w:sz w:val="13"/>
          <w:szCs w:val="13"/>
          <w:color w:val="auto"/>
        </w:rPr>
        <w:t>- 37 -</w:t>
      </w:r>
    </w:p>
    <w:p>
      <w:pPr>
        <w:sectPr>
          <w:pgSz w:w="11900" w:h="16838" w:orient="portrait"/>
          <w:cols w:equalWidth="0" w:num="1">
            <w:col w:w="9300"/>
          </w:cols>
          <w:pgMar w:left="1220" w:top="670" w:right="1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00" w:right="680"/>
        <w:spacing w:after="0" w:line="238" w:lineRule="auto"/>
        <w:rPr>
          <w:sz w:val="20"/>
          <w:szCs w:val="20"/>
          <w:color w:val="auto"/>
        </w:rPr>
      </w:pPr>
      <w:r>
        <w:rPr>
          <w:rFonts w:ascii="Arial" w:cs="Arial" w:eastAsia="Arial" w:hAnsi="Arial"/>
          <w:sz w:val="18"/>
          <w:szCs w:val="18"/>
          <w:color w:val="auto"/>
        </w:rPr>
        <w:t>Konkurrenzverbote für die Zeit nach Beendigung des Arbeitsvertrags vereinbaren. Die Dauer eines solchen Konkurrenzverbots für ein Mitglied der Geschäftsleitung darf ein (1) Jahr nicht überschreiten, und die Entschädigung für ein Konkurrenzverbot darf den Durchschnitt der in den vergangen drei Geschäftsjahren an das betreffende Mitglied der Geschäftsleitung bezahlten Vergütung nicht übersteigen.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727710</wp:posOffset>
            </wp:positionH>
            <wp:positionV relativeFrom="paragraph">
              <wp:posOffset>429895</wp:posOffset>
            </wp:positionV>
            <wp:extent cx="226314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200"/>
        <w:spacing w:after="0"/>
        <w:rPr>
          <w:sz w:val="20"/>
          <w:szCs w:val="20"/>
          <w:color w:val="auto"/>
        </w:rPr>
      </w:pPr>
      <w:r>
        <w:rPr>
          <w:rFonts w:ascii="Arial" w:cs="Arial" w:eastAsia="Arial" w:hAnsi="Arial"/>
          <w:sz w:val="18"/>
          <w:szCs w:val="18"/>
          <w:b w:val="1"/>
          <w:bCs w:val="1"/>
          <w:color w:val="auto"/>
        </w:rPr>
        <w:t>Abschnitt 3c:</w:t>
      </w:r>
    </w:p>
    <w:p>
      <w:pPr>
        <w:spacing w:after="0" w:line="14" w:lineRule="exact"/>
        <w:rPr>
          <w:sz w:val="20"/>
          <w:szCs w:val="20"/>
          <w:color w:val="auto"/>
        </w:rPr>
      </w:pPr>
    </w:p>
    <w:p>
      <w:pPr>
        <w:ind w:left="1200" w:right="640"/>
        <w:spacing w:after="0" w:line="242" w:lineRule="auto"/>
        <w:rPr>
          <w:sz w:val="20"/>
          <w:szCs w:val="20"/>
          <w:color w:val="auto"/>
        </w:rPr>
      </w:pPr>
      <w:r>
        <w:rPr>
          <w:rFonts w:ascii="Arial" w:cs="Arial" w:eastAsia="Arial" w:hAnsi="Arial"/>
          <w:sz w:val="18"/>
          <w:szCs w:val="18"/>
          <w:i w:val="1"/>
          <w:iCs w:val="1"/>
          <w:color w:val="auto"/>
        </w:rPr>
        <w:t>Mandate ausserhalb des Konzerns, Darlehen, Vorsorgeleistungen ausserhalb der beruflichen Vorsorge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727710</wp:posOffset>
            </wp:positionH>
            <wp:positionV relativeFrom="paragraph">
              <wp:posOffset>22860</wp:posOffset>
            </wp:positionV>
            <wp:extent cx="226314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263140" cy="8890"/>
                    </a:xfrm>
                    <a:prstGeom prst="rect">
                      <a:avLst/>
                    </a:prstGeom>
                    <a:noFill/>
                  </pic:spPr>
                </pic:pic>
              </a:graphicData>
            </a:graphic>
          </wp:anchor>
        </w:drawing>
      </w:r>
    </w:p>
    <w:p>
      <w:pPr>
        <w:spacing w:after="0" w:line="65" w:lineRule="exact"/>
        <w:rPr>
          <w:sz w:val="20"/>
          <w:szCs w:val="20"/>
          <w:color w:val="auto"/>
        </w:rPr>
      </w:pPr>
    </w:p>
    <w:p>
      <w:pPr>
        <w:ind w:left="1200"/>
        <w:spacing w:after="0"/>
        <w:rPr>
          <w:sz w:val="20"/>
          <w:szCs w:val="20"/>
          <w:color w:val="auto"/>
        </w:rPr>
      </w:pPr>
      <w:r>
        <w:rPr>
          <w:rFonts w:ascii="Arial" w:cs="Arial" w:eastAsia="Arial" w:hAnsi="Arial"/>
          <w:sz w:val="18"/>
          <w:szCs w:val="18"/>
          <w:b w:val="1"/>
          <w:bCs w:val="1"/>
          <w:color w:val="auto"/>
        </w:rPr>
        <w:t>Artikel 29e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0"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Executive Management Team for the period after the termination of the employment agreement. The duration of any such non-competition undertaking by an Executive Management Team member shall not exceed one (1) year, and the consideration paid for a non-competition undertaking shall not exceed the average of the compensation paid to the relevant member of the Executive Management Team during the three preceding financial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299720</wp:posOffset>
            </wp:positionV>
            <wp:extent cx="228028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3c:</w:t>
      </w:r>
    </w:p>
    <w:p>
      <w:pPr>
        <w:spacing w:after="0" w:line="14" w:lineRule="exact"/>
        <w:rPr>
          <w:sz w:val="20"/>
          <w:szCs w:val="20"/>
          <w:color w:val="auto"/>
        </w:rPr>
      </w:pPr>
    </w:p>
    <w:p>
      <w:pPr>
        <w:spacing w:after="0" w:line="242" w:lineRule="auto"/>
        <w:rPr>
          <w:sz w:val="20"/>
          <w:szCs w:val="20"/>
          <w:color w:val="auto"/>
        </w:rPr>
      </w:pPr>
      <w:r>
        <w:rPr>
          <w:rFonts w:ascii="Arial" w:cs="Arial" w:eastAsia="Arial" w:hAnsi="Arial"/>
          <w:sz w:val="18"/>
          <w:szCs w:val="18"/>
          <w:i w:val="1"/>
          <w:iCs w:val="1"/>
          <w:color w:val="auto"/>
        </w:rPr>
        <w:t>Mandates Outside the Group, Loans, Post-Retirement Benefits Beyond Occupational Pensions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22860</wp:posOffset>
            </wp:positionV>
            <wp:extent cx="228028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280285" cy="8890"/>
                    </a:xfrm>
                    <a:prstGeom prst="rect">
                      <a:avLst/>
                    </a:prstGeom>
                    <a:noFill/>
                  </pic:spPr>
                </pic:pic>
              </a:graphicData>
            </a:graphic>
          </wp:anchor>
        </w:drawing>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29e</w:t>
      </w:r>
    </w:p>
    <w:p>
      <w:pPr>
        <w:spacing w:after="0" w:line="185" w:lineRule="exact"/>
        <w:rPr>
          <w:sz w:val="20"/>
          <w:szCs w:val="20"/>
          <w:color w:val="auto"/>
        </w:rPr>
      </w:pPr>
    </w:p>
    <w:p>
      <w:pPr>
        <w:sectPr>
          <w:pgSz w:w="11900" w:h="16838" w:orient="portrait"/>
          <w:cols w:equalWidth="0" w:num="2">
            <w:col w:w="5160" w:space="720"/>
            <w:col w:w="3420"/>
          </w:cols>
          <w:pgMar w:left="1220" w:top="670" w:right="1379" w:bottom="1440" w:gutter="0" w:footer="0" w:header="0"/>
          <w:type w:val="continuous"/>
        </w:sectPr>
      </w:pPr>
    </w:p>
    <w:p>
      <w:pPr>
        <w:spacing w:after="0" w:line="36" w:lineRule="exact"/>
        <w:rPr>
          <w:sz w:val="20"/>
          <w:szCs w:val="20"/>
          <w:color w:val="auto"/>
        </w:rPr>
      </w:pPr>
    </w:p>
    <w:p>
      <w:pPr>
        <w:spacing w:after="0"/>
        <w:rPr>
          <w:sz w:val="20"/>
          <w:szCs w:val="20"/>
          <w:color w:val="auto"/>
        </w:rPr>
      </w:pPr>
      <w:r>
        <w:rPr>
          <w:rFonts w:ascii="Arial" w:cs="Arial" w:eastAsia="Arial" w:hAnsi="Arial"/>
          <w:sz w:val="14"/>
          <w:szCs w:val="14"/>
          <w:color w:val="auto"/>
        </w:rPr>
        <w:t>Mandate</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ausserhalb</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des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Konzerns</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223" w:right="100" w:hanging="223"/>
        <w:spacing w:after="0" w:line="231" w:lineRule="auto"/>
        <w:tabs>
          <w:tab w:leader="none" w:pos="223" w:val="left"/>
        </w:tabs>
        <w:numPr>
          <w:ilvl w:val="0"/>
          <w:numId w:val="174"/>
        </w:numPr>
        <w:rPr>
          <w:rFonts w:ascii="Arial" w:cs="Arial" w:eastAsia="Arial" w:hAnsi="Arial"/>
          <w:sz w:val="28"/>
          <w:szCs w:val="28"/>
          <w:color w:val="auto"/>
          <w:vertAlign w:val="superscript"/>
        </w:rPr>
      </w:pPr>
      <w:r>
        <w:rPr>
          <w:rFonts w:ascii="Arial" w:cs="Arial" w:eastAsia="Arial" w:hAnsi="Arial"/>
          <w:sz w:val="17"/>
          <w:szCs w:val="17"/>
          <w:color w:val="auto"/>
        </w:rPr>
        <w:t>Kein Mitglied des Verwaltungsrates kann zusätzlich zum Mandat bei der Gesellschaft mehr als zehn (10) Mandate in Personen wahrnehmen, wovon nicht mehr als vier (4) in Personen sein dürfen, deren Aktien an einer Börse kotiert sind.</w:t>
      </w:r>
    </w:p>
    <w:p>
      <w:pPr>
        <w:spacing w:after="0" w:line="72" w:lineRule="exact"/>
        <w:rPr>
          <w:sz w:val="20"/>
          <w:szCs w:val="20"/>
          <w:color w:val="auto"/>
        </w:rPr>
      </w:pPr>
    </w:p>
    <w:p>
      <w:pPr>
        <w:ind w:left="223" w:right="120" w:hanging="223"/>
        <w:spacing w:after="0" w:line="221" w:lineRule="auto"/>
        <w:tabs>
          <w:tab w:leader="none" w:pos="223" w:val="left"/>
        </w:tabs>
        <w:numPr>
          <w:ilvl w:val="0"/>
          <w:numId w:val="175"/>
        </w:numPr>
        <w:rPr>
          <w:rFonts w:ascii="Arial" w:cs="Arial" w:eastAsia="Arial" w:hAnsi="Arial"/>
          <w:sz w:val="29"/>
          <w:szCs w:val="29"/>
          <w:color w:val="auto"/>
          <w:vertAlign w:val="superscript"/>
        </w:rPr>
      </w:pPr>
      <w:r>
        <w:rPr>
          <w:rFonts w:ascii="Arial" w:cs="Arial" w:eastAsia="Arial" w:hAnsi="Arial"/>
          <w:sz w:val="18"/>
          <w:szCs w:val="18"/>
          <w:color w:val="auto"/>
        </w:rPr>
        <w:t>Kein Mitglied der Geschäftsleitung kann mehr als vier (4) Mandate in Personen wahrnehmen, wovon zusätzlich zu einem allfälligen Mandat bei der Gesellschaft nicht mehr als eines (1) in einer Person sein darf, deren Aktien an einer Börse kotiert sind.</w:t>
      </w:r>
    </w:p>
    <w:p>
      <w:pPr>
        <w:spacing w:after="0" w:line="75" w:lineRule="exact"/>
        <w:rPr>
          <w:sz w:val="20"/>
          <w:szCs w:val="20"/>
          <w:color w:val="auto"/>
        </w:rPr>
      </w:pPr>
    </w:p>
    <w:p>
      <w:pPr>
        <w:jc w:val="both"/>
        <w:ind w:left="223" w:right="160" w:hanging="223"/>
        <w:spacing w:after="0" w:line="206" w:lineRule="auto"/>
        <w:tabs>
          <w:tab w:leader="none" w:pos="223" w:val="left"/>
        </w:tabs>
        <w:numPr>
          <w:ilvl w:val="0"/>
          <w:numId w:val="176"/>
        </w:numPr>
        <w:rPr>
          <w:rFonts w:ascii="Arial" w:cs="Arial" w:eastAsia="Arial" w:hAnsi="Arial"/>
          <w:sz w:val="29"/>
          <w:szCs w:val="29"/>
          <w:color w:val="auto"/>
          <w:vertAlign w:val="superscript"/>
        </w:rPr>
      </w:pPr>
      <w:r>
        <w:rPr>
          <w:rFonts w:ascii="Arial" w:cs="Arial" w:eastAsia="Arial" w:hAnsi="Arial"/>
          <w:sz w:val="18"/>
          <w:szCs w:val="18"/>
          <w:color w:val="auto"/>
        </w:rPr>
        <w:t>Die folgenden Mandate fallen nicht unter die Beschränkungen gemäss Abs. 1 und Abs. 2 dieses Artikels 29e:</w:t>
      </w:r>
    </w:p>
    <w:p>
      <w:pPr>
        <w:spacing w:after="0" w:line="19" w:lineRule="exact"/>
        <w:rPr>
          <w:rFonts w:ascii="Arial" w:cs="Arial" w:eastAsia="Arial" w:hAnsi="Arial"/>
          <w:sz w:val="29"/>
          <w:szCs w:val="29"/>
          <w:color w:val="auto"/>
          <w:vertAlign w:val="superscript"/>
        </w:rPr>
      </w:pPr>
    </w:p>
    <w:p>
      <w:pPr>
        <w:ind w:left="663" w:right="40" w:hanging="380"/>
        <w:spacing w:after="0" w:line="244" w:lineRule="auto"/>
        <w:tabs>
          <w:tab w:leader="none" w:pos="663" w:val="left"/>
        </w:tabs>
        <w:numPr>
          <w:ilvl w:val="1"/>
          <w:numId w:val="176"/>
        </w:numPr>
        <w:rPr>
          <w:rFonts w:ascii="Arial" w:cs="Arial" w:eastAsia="Arial" w:hAnsi="Arial"/>
          <w:sz w:val="18"/>
          <w:szCs w:val="18"/>
          <w:color w:val="auto"/>
        </w:rPr>
      </w:pPr>
      <w:r>
        <w:rPr>
          <w:rFonts w:ascii="Arial" w:cs="Arial" w:eastAsia="Arial" w:hAnsi="Arial"/>
          <w:sz w:val="18"/>
          <w:szCs w:val="18"/>
          <w:color w:val="auto"/>
        </w:rPr>
        <w:t>Mandate in Personen, welche die Gesellschaft kontrollieren, durch die Gesellschaft kontrolliert werden oder unter gemeinsamer Kontrolle mit der Gesellschaft stehen;</w:t>
      </w:r>
    </w:p>
    <w:p>
      <w:pPr>
        <w:spacing w:after="0" w:line="14" w:lineRule="exact"/>
        <w:rPr>
          <w:rFonts w:ascii="Arial" w:cs="Arial" w:eastAsia="Arial" w:hAnsi="Arial"/>
          <w:sz w:val="18"/>
          <w:szCs w:val="18"/>
          <w:color w:val="auto"/>
        </w:rPr>
      </w:pPr>
    </w:p>
    <w:p>
      <w:pPr>
        <w:ind w:left="663" w:hanging="380"/>
        <w:spacing w:after="0" w:line="244" w:lineRule="auto"/>
        <w:tabs>
          <w:tab w:leader="none" w:pos="663" w:val="left"/>
        </w:tabs>
        <w:numPr>
          <w:ilvl w:val="1"/>
          <w:numId w:val="176"/>
        </w:numPr>
        <w:rPr>
          <w:rFonts w:ascii="Arial" w:cs="Arial" w:eastAsia="Arial" w:hAnsi="Arial"/>
          <w:sz w:val="18"/>
          <w:szCs w:val="18"/>
          <w:color w:val="auto"/>
        </w:rPr>
      </w:pPr>
      <w:r>
        <w:rPr>
          <w:rFonts w:ascii="Arial" w:cs="Arial" w:eastAsia="Arial" w:hAnsi="Arial"/>
          <w:sz w:val="18"/>
          <w:szCs w:val="18"/>
          <w:color w:val="auto"/>
        </w:rPr>
        <w:t>Ohne Einschränkung von lit. a hiervor, Mandate, die auf Anordnung der Gesellschaft oder von Personen, welche die Gesellschaft kontrollieren, durch die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020" w:type="dxa"/>
            <w:vAlign w:val="bottom"/>
          </w:tcPr>
          <w:p>
            <w:pPr>
              <w:spacing w:after="0"/>
              <w:rPr>
                <w:sz w:val="20"/>
                <w:szCs w:val="20"/>
                <w:color w:val="auto"/>
              </w:rPr>
            </w:pPr>
            <w:r>
              <w:rPr>
                <w:rFonts w:ascii="Arial" w:cs="Arial" w:eastAsia="Arial" w:hAnsi="Arial"/>
                <w:sz w:val="14"/>
                <w:szCs w:val="14"/>
                <w:color w:val="auto"/>
              </w:rPr>
              <w:t>Mandates   1</w:t>
            </w:r>
          </w:p>
        </w:tc>
        <w:tc>
          <w:tcPr>
            <w:tcW w:w="3460" w:type="dxa"/>
            <w:vAlign w:val="bottom"/>
          </w:tcPr>
          <w:p>
            <w:pPr>
              <w:ind w:left="80"/>
              <w:spacing w:after="0"/>
              <w:rPr>
                <w:sz w:val="20"/>
                <w:szCs w:val="20"/>
                <w:color w:val="auto"/>
              </w:rPr>
            </w:pPr>
            <w:r>
              <w:rPr>
                <w:rFonts w:ascii="Arial" w:cs="Arial" w:eastAsia="Arial" w:hAnsi="Arial"/>
                <w:sz w:val="18"/>
                <w:szCs w:val="18"/>
                <w:color w:val="auto"/>
              </w:rPr>
              <w:t>No member of the Board of Directors may</w:t>
            </w:r>
          </w:p>
        </w:tc>
        <w:tc>
          <w:tcPr>
            <w:tcW w:w="0" w:type="dxa"/>
            <w:vAlign w:val="bottom"/>
          </w:tcPr>
          <w:p>
            <w:pPr>
              <w:spacing w:after="0"/>
              <w:rPr>
                <w:sz w:val="1"/>
                <w:szCs w:val="1"/>
                <w:color w:val="auto"/>
              </w:rPr>
            </w:pPr>
          </w:p>
        </w:tc>
      </w:tr>
      <w:tr>
        <w:trPr>
          <w:trHeight w:val="203"/>
        </w:trPr>
        <w:tc>
          <w:tcPr>
            <w:tcW w:w="1020" w:type="dxa"/>
            <w:vAlign w:val="bottom"/>
          </w:tcPr>
          <w:p>
            <w:pPr>
              <w:spacing w:after="0"/>
              <w:rPr>
                <w:sz w:val="20"/>
                <w:szCs w:val="20"/>
                <w:color w:val="auto"/>
              </w:rPr>
            </w:pPr>
            <w:r>
              <w:rPr>
                <w:rFonts w:ascii="Arial" w:cs="Arial" w:eastAsia="Arial" w:hAnsi="Arial"/>
                <w:sz w:val="14"/>
                <w:szCs w:val="14"/>
                <w:color w:val="auto"/>
              </w:rPr>
              <w:t>Outside the</w:t>
            </w:r>
          </w:p>
        </w:tc>
        <w:tc>
          <w:tcPr>
            <w:tcW w:w="3460" w:type="dxa"/>
            <w:vAlign w:val="bottom"/>
          </w:tcPr>
          <w:p>
            <w:pPr>
              <w:ind w:left="80"/>
              <w:spacing w:after="0" w:line="202" w:lineRule="exact"/>
              <w:rPr>
                <w:sz w:val="20"/>
                <w:szCs w:val="20"/>
                <w:color w:val="auto"/>
              </w:rPr>
            </w:pPr>
            <w:r>
              <w:rPr>
                <w:rFonts w:ascii="Arial" w:cs="Arial" w:eastAsia="Arial" w:hAnsi="Arial"/>
                <w:sz w:val="18"/>
                <w:szCs w:val="18"/>
                <w:color w:val="auto"/>
              </w:rPr>
              <w:t>hold more than ten (10) Mandates in</w:t>
            </w:r>
          </w:p>
        </w:tc>
        <w:tc>
          <w:tcPr>
            <w:tcW w:w="0" w:type="dxa"/>
            <w:vAlign w:val="bottom"/>
          </w:tcPr>
          <w:p>
            <w:pPr>
              <w:spacing w:after="0"/>
              <w:rPr>
                <w:sz w:val="1"/>
                <w:szCs w:val="1"/>
                <w:color w:val="auto"/>
              </w:rPr>
            </w:pPr>
          </w:p>
        </w:tc>
      </w:tr>
      <w:tr>
        <w:trPr>
          <w:trHeight w:val="190"/>
        </w:trPr>
        <w:tc>
          <w:tcPr>
            <w:tcW w:w="1020" w:type="dxa"/>
            <w:vAlign w:val="bottom"/>
          </w:tcPr>
          <w:p>
            <w:pPr>
              <w:spacing w:after="0"/>
              <w:rPr>
                <w:sz w:val="20"/>
                <w:szCs w:val="20"/>
                <w:color w:val="auto"/>
              </w:rPr>
            </w:pPr>
            <w:r>
              <w:rPr>
                <w:rFonts w:ascii="Arial" w:cs="Arial" w:eastAsia="Arial" w:hAnsi="Arial"/>
                <w:sz w:val="14"/>
                <w:szCs w:val="14"/>
                <w:color w:val="auto"/>
              </w:rPr>
              <w:t>Group</w:t>
            </w:r>
          </w:p>
        </w:tc>
        <w:tc>
          <w:tcPr>
            <w:tcW w:w="3460" w:type="dxa"/>
            <w:vAlign w:val="bottom"/>
            <w:vMerge w:val="restart"/>
          </w:tcPr>
          <w:p>
            <w:pPr>
              <w:ind w:left="80"/>
              <w:spacing w:after="0"/>
              <w:rPr>
                <w:sz w:val="20"/>
                <w:szCs w:val="20"/>
                <w:color w:val="auto"/>
              </w:rPr>
            </w:pPr>
            <w:r>
              <w:rPr>
                <w:rFonts w:ascii="Arial" w:cs="Arial" w:eastAsia="Arial" w:hAnsi="Arial"/>
                <w:sz w:val="18"/>
                <w:szCs w:val="18"/>
                <w:color w:val="auto"/>
                <w:w w:val="98"/>
              </w:rPr>
              <w:t>Persons other than the Company, of which</w:t>
            </w:r>
          </w:p>
        </w:tc>
        <w:tc>
          <w:tcPr>
            <w:tcW w:w="0" w:type="dxa"/>
            <w:vAlign w:val="bottom"/>
          </w:tcPr>
          <w:p>
            <w:pPr>
              <w:spacing w:after="0"/>
              <w:rPr>
                <w:sz w:val="1"/>
                <w:szCs w:val="1"/>
                <w:color w:val="auto"/>
              </w:rPr>
            </w:pPr>
          </w:p>
        </w:tc>
      </w:tr>
      <w:tr>
        <w:trPr>
          <w:trHeight w:val="34"/>
        </w:trPr>
        <w:tc>
          <w:tcPr>
            <w:tcW w:w="1020" w:type="dxa"/>
            <w:vAlign w:val="bottom"/>
          </w:tcPr>
          <w:p>
            <w:pPr>
              <w:spacing w:after="0"/>
              <w:rPr>
                <w:sz w:val="2"/>
                <w:szCs w:val="2"/>
                <w:color w:val="auto"/>
              </w:rPr>
            </w:pPr>
          </w:p>
        </w:tc>
        <w:tc>
          <w:tcPr>
            <w:tcW w:w="34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020" w:type="dxa"/>
            <w:vAlign w:val="bottom"/>
          </w:tcPr>
          <w:p>
            <w:pPr>
              <w:spacing w:after="0"/>
              <w:rPr>
                <w:sz w:val="17"/>
                <w:szCs w:val="17"/>
                <w:color w:val="auto"/>
              </w:rPr>
            </w:pPr>
          </w:p>
        </w:tc>
        <w:tc>
          <w:tcPr>
            <w:tcW w:w="3460" w:type="dxa"/>
            <w:vAlign w:val="bottom"/>
          </w:tcPr>
          <w:p>
            <w:pPr>
              <w:ind w:left="80"/>
              <w:spacing w:after="0" w:line="202" w:lineRule="exact"/>
              <w:rPr>
                <w:sz w:val="20"/>
                <w:szCs w:val="20"/>
                <w:color w:val="auto"/>
              </w:rPr>
            </w:pPr>
            <w:r>
              <w:rPr>
                <w:rFonts w:ascii="Arial" w:cs="Arial" w:eastAsia="Arial" w:hAnsi="Arial"/>
                <w:sz w:val="18"/>
                <w:szCs w:val="18"/>
                <w:color w:val="auto"/>
              </w:rPr>
              <w:t>not more than four (4) may be in Persons</w:t>
            </w:r>
          </w:p>
        </w:tc>
        <w:tc>
          <w:tcPr>
            <w:tcW w:w="0" w:type="dxa"/>
            <w:vAlign w:val="bottom"/>
          </w:tcPr>
          <w:p>
            <w:pPr>
              <w:spacing w:after="0"/>
              <w:rPr>
                <w:sz w:val="1"/>
                <w:szCs w:val="1"/>
                <w:color w:val="auto"/>
              </w:rPr>
            </w:pPr>
          </w:p>
        </w:tc>
      </w:tr>
      <w:tr>
        <w:trPr>
          <w:trHeight w:val="203"/>
        </w:trPr>
        <w:tc>
          <w:tcPr>
            <w:tcW w:w="1020" w:type="dxa"/>
            <w:vAlign w:val="bottom"/>
          </w:tcPr>
          <w:p>
            <w:pPr>
              <w:spacing w:after="0"/>
              <w:rPr>
                <w:sz w:val="17"/>
                <w:szCs w:val="17"/>
                <w:color w:val="auto"/>
              </w:rPr>
            </w:pPr>
          </w:p>
        </w:tc>
        <w:tc>
          <w:tcPr>
            <w:tcW w:w="3460" w:type="dxa"/>
            <w:vAlign w:val="bottom"/>
          </w:tcPr>
          <w:p>
            <w:pPr>
              <w:ind w:left="80"/>
              <w:spacing w:after="0" w:line="202" w:lineRule="exact"/>
              <w:rPr>
                <w:sz w:val="20"/>
                <w:szCs w:val="20"/>
                <w:color w:val="auto"/>
              </w:rPr>
            </w:pPr>
            <w:r>
              <w:rPr>
                <w:rFonts w:ascii="Arial" w:cs="Arial" w:eastAsia="Arial" w:hAnsi="Arial"/>
                <w:sz w:val="18"/>
                <w:szCs w:val="18"/>
                <w:color w:val="auto"/>
              </w:rPr>
              <w:t>whose shares are listed on a stock</w:t>
            </w:r>
          </w:p>
        </w:tc>
        <w:tc>
          <w:tcPr>
            <w:tcW w:w="0" w:type="dxa"/>
            <w:vAlign w:val="bottom"/>
          </w:tcPr>
          <w:p>
            <w:pPr>
              <w:spacing w:after="0"/>
              <w:rPr>
                <w:sz w:val="1"/>
                <w:szCs w:val="1"/>
                <w:color w:val="auto"/>
              </w:rPr>
            </w:pPr>
          </w:p>
        </w:tc>
      </w:tr>
      <w:tr>
        <w:trPr>
          <w:trHeight w:val="239"/>
        </w:trPr>
        <w:tc>
          <w:tcPr>
            <w:tcW w:w="1020" w:type="dxa"/>
            <w:vAlign w:val="bottom"/>
          </w:tcPr>
          <w:p>
            <w:pPr>
              <w:spacing w:after="0"/>
              <w:rPr>
                <w:sz w:val="20"/>
                <w:szCs w:val="20"/>
                <w:color w:val="auto"/>
              </w:rPr>
            </w:pPr>
          </w:p>
        </w:tc>
        <w:tc>
          <w:tcPr>
            <w:tcW w:w="3460" w:type="dxa"/>
            <w:vAlign w:val="bottom"/>
          </w:tcPr>
          <w:p>
            <w:pPr>
              <w:ind w:left="80"/>
              <w:spacing w:after="0"/>
              <w:rPr>
                <w:sz w:val="20"/>
                <w:szCs w:val="20"/>
                <w:color w:val="auto"/>
              </w:rPr>
            </w:pPr>
            <w:r>
              <w:rPr>
                <w:rFonts w:ascii="Arial" w:cs="Arial" w:eastAsia="Arial" w:hAnsi="Arial"/>
                <w:sz w:val="18"/>
                <w:szCs w:val="18"/>
                <w:color w:val="auto"/>
              </w:rPr>
              <w:t>exchange.</w:t>
            </w:r>
          </w:p>
        </w:tc>
        <w:tc>
          <w:tcPr>
            <w:tcW w:w="0" w:type="dxa"/>
            <w:vAlign w:val="bottom"/>
          </w:tcPr>
          <w:p>
            <w:pPr>
              <w:spacing w:after="0"/>
              <w:rPr>
                <w:sz w:val="1"/>
                <w:szCs w:val="1"/>
                <w:color w:val="auto"/>
              </w:rPr>
            </w:pPr>
          </w:p>
        </w:tc>
      </w:tr>
      <w:tr>
        <w:trPr>
          <w:trHeight w:val="274"/>
        </w:trPr>
        <w:tc>
          <w:tcPr>
            <w:tcW w:w="102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3460" w:type="dxa"/>
            <w:vAlign w:val="bottom"/>
          </w:tcPr>
          <w:p>
            <w:pPr>
              <w:ind w:left="80"/>
              <w:spacing w:after="0"/>
              <w:rPr>
                <w:sz w:val="20"/>
                <w:szCs w:val="20"/>
                <w:color w:val="auto"/>
              </w:rPr>
            </w:pPr>
            <w:r>
              <w:rPr>
                <w:rFonts w:ascii="Arial" w:cs="Arial" w:eastAsia="Arial" w:hAnsi="Arial"/>
                <w:sz w:val="18"/>
                <w:szCs w:val="18"/>
                <w:color w:val="auto"/>
                <w:w w:val="99"/>
              </w:rPr>
              <w:t>No member of the Executive Management</w:t>
            </w:r>
          </w:p>
        </w:tc>
        <w:tc>
          <w:tcPr>
            <w:tcW w:w="0" w:type="dxa"/>
            <w:vAlign w:val="bottom"/>
          </w:tcPr>
          <w:p>
            <w:pPr>
              <w:spacing w:after="0"/>
              <w:rPr>
                <w:sz w:val="1"/>
                <w:szCs w:val="1"/>
                <w:color w:val="auto"/>
              </w:rPr>
            </w:pPr>
          </w:p>
        </w:tc>
      </w:tr>
      <w:tr>
        <w:trPr>
          <w:trHeight w:val="203"/>
        </w:trPr>
        <w:tc>
          <w:tcPr>
            <w:tcW w:w="1020" w:type="dxa"/>
            <w:vAlign w:val="bottom"/>
          </w:tcPr>
          <w:p>
            <w:pPr>
              <w:spacing w:after="0"/>
              <w:rPr>
                <w:sz w:val="17"/>
                <w:szCs w:val="17"/>
                <w:color w:val="auto"/>
              </w:rPr>
            </w:pPr>
          </w:p>
        </w:tc>
        <w:tc>
          <w:tcPr>
            <w:tcW w:w="3460" w:type="dxa"/>
            <w:vAlign w:val="bottom"/>
          </w:tcPr>
          <w:p>
            <w:pPr>
              <w:ind w:left="80"/>
              <w:spacing w:after="0" w:line="202" w:lineRule="exact"/>
              <w:rPr>
                <w:sz w:val="20"/>
                <w:szCs w:val="20"/>
                <w:color w:val="auto"/>
              </w:rPr>
            </w:pPr>
            <w:r>
              <w:rPr>
                <w:rFonts w:ascii="Arial" w:cs="Arial" w:eastAsia="Arial" w:hAnsi="Arial"/>
                <w:sz w:val="18"/>
                <w:szCs w:val="18"/>
                <w:color w:val="auto"/>
              </w:rPr>
              <w:t>Team may hold more than four (4)</w:t>
            </w:r>
          </w:p>
        </w:tc>
        <w:tc>
          <w:tcPr>
            <w:tcW w:w="0" w:type="dxa"/>
            <w:vAlign w:val="bottom"/>
          </w:tcPr>
          <w:p>
            <w:pPr>
              <w:spacing w:after="0"/>
              <w:rPr>
                <w:sz w:val="1"/>
                <w:szCs w:val="1"/>
                <w:color w:val="auto"/>
              </w:rPr>
            </w:pPr>
          </w:p>
        </w:tc>
      </w:tr>
      <w:tr>
        <w:trPr>
          <w:trHeight w:val="203"/>
        </w:trPr>
        <w:tc>
          <w:tcPr>
            <w:tcW w:w="1020" w:type="dxa"/>
            <w:vAlign w:val="bottom"/>
          </w:tcPr>
          <w:p>
            <w:pPr>
              <w:spacing w:after="0"/>
              <w:rPr>
                <w:sz w:val="17"/>
                <w:szCs w:val="17"/>
                <w:color w:val="auto"/>
              </w:rPr>
            </w:pPr>
          </w:p>
        </w:tc>
        <w:tc>
          <w:tcPr>
            <w:tcW w:w="3460" w:type="dxa"/>
            <w:vAlign w:val="bottom"/>
          </w:tcPr>
          <w:p>
            <w:pPr>
              <w:ind w:left="80"/>
              <w:spacing w:after="0" w:line="202" w:lineRule="exact"/>
              <w:rPr>
                <w:sz w:val="20"/>
                <w:szCs w:val="20"/>
                <w:color w:val="auto"/>
              </w:rPr>
            </w:pPr>
            <w:r>
              <w:rPr>
                <w:rFonts w:ascii="Arial" w:cs="Arial" w:eastAsia="Arial" w:hAnsi="Arial"/>
                <w:sz w:val="18"/>
                <w:szCs w:val="18"/>
                <w:color w:val="auto"/>
              </w:rPr>
              <w:t>Mandates in Persons of which, in addition</w:t>
            </w:r>
          </w:p>
        </w:tc>
        <w:tc>
          <w:tcPr>
            <w:tcW w:w="0" w:type="dxa"/>
            <w:vAlign w:val="bottom"/>
          </w:tcPr>
          <w:p>
            <w:pPr>
              <w:spacing w:after="0"/>
              <w:rPr>
                <w:sz w:val="1"/>
                <w:szCs w:val="1"/>
                <w:color w:val="auto"/>
              </w:rPr>
            </w:pPr>
          </w:p>
        </w:tc>
      </w:tr>
      <w:tr>
        <w:trPr>
          <w:trHeight w:val="203"/>
        </w:trPr>
        <w:tc>
          <w:tcPr>
            <w:tcW w:w="1020" w:type="dxa"/>
            <w:vAlign w:val="bottom"/>
          </w:tcPr>
          <w:p>
            <w:pPr>
              <w:spacing w:after="0"/>
              <w:rPr>
                <w:sz w:val="17"/>
                <w:szCs w:val="17"/>
                <w:color w:val="auto"/>
              </w:rPr>
            </w:pPr>
          </w:p>
        </w:tc>
        <w:tc>
          <w:tcPr>
            <w:tcW w:w="3460" w:type="dxa"/>
            <w:vAlign w:val="bottom"/>
          </w:tcPr>
          <w:p>
            <w:pPr>
              <w:ind w:left="80"/>
              <w:spacing w:after="0" w:line="202" w:lineRule="exact"/>
              <w:rPr>
                <w:sz w:val="20"/>
                <w:szCs w:val="20"/>
                <w:color w:val="auto"/>
              </w:rPr>
            </w:pPr>
            <w:r>
              <w:rPr>
                <w:rFonts w:ascii="Arial" w:cs="Arial" w:eastAsia="Arial" w:hAnsi="Arial"/>
                <w:sz w:val="18"/>
                <w:szCs w:val="18"/>
                <w:color w:val="auto"/>
              </w:rPr>
              <w:t>to a Mandate at the Company, if any, not</w:t>
            </w:r>
          </w:p>
        </w:tc>
        <w:tc>
          <w:tcPr>
            <w:tcW w:w="0" w:type="dxa"/>
            <w:vAlign w:val="bottom"/>
          </w:tcPr>
          <w:p>
            <w:pPr>
              <w:spacing w:after="0"/>
              <w:rPr>
                <w:sz w:val="1"/>
                <w:szCs w:val="1"/>
                <w:color w:val="auto"/>
              </w:rPr>
            </w:pPr>
          </w:p>
        </w:tc>
      </w:tr>
      <w:tr>
        <w:trPr>
          <w:trHeight w:val="203"/>
        </w:trPr>
        <w:tc>
          <w:tcPr>
            <w:tcW w:w="1020" w:type="dxa"/>
            <w:vAlign w:val="bottom"/>
          </w:tcPr>
          <w:p>
            <w:pPr>
              <w:spacing w:after="0"/>
              <w:rPr>
                <w:sz w:val="17"/>
                <w:szCs w:val="17"/>
                <w:color w:val="auto"/>
              </w:rPr>
            </w:pPr>
          </w:p>
        </w:tc>
        <w:tc>
          <w:tcPr>
            <w:tcW w:w="3460" w:type="dxa"/>
            <w:vAlign w:val="bottom"/>
          </w:tcPr>
          <w:p>
            <w:pPr>
              <w:ind w:left="80"/>
              <w:spacing w:after="0" w:line="202" w:lineRule="exact"/>
              <w:rPr>
                <w:sz w:val="20"/>
                <w:szCs w:val="20"/>
                <w:color w:val="auto"/>
              </w:rPr>
            </w:pPr>
            <w:r>
              <w:rPr>
                <w:rFonts w:ascii="Arial" w:cs="Arial" w:eastAsia="Arial" w:hAnsi="Arial"/>
                <w:sz w:val="18"/>
                <w:szCs w:val="18"/>
                <w:color w:val="auto"/>
              </w:rPr>
              <w:t>more than one (1) may be in Persons</w:t>
            </w:r>
          </w:p>
        </w:tc>
        <w:tc>
          <w:tcPr>
            <w:tcW w:w="0" w:type="dxa"/>
            <w:vAlign w:val="bottom"/>
          </w:tcPr>
          <w:p>
            <w:pPr>
              <w:spacing w:after="0"/>
              <w:rPr>
                <w:sz w:val="1"/>
                <w:szCs w:val="1"/>
                <w:color w:val="auto"/>
              </w:rPr>
            </w:pPr>
          </w:p>
        </w:tc>
      </w:tr>
      <w:tr>
        <w:trPr>
          <w:trHeight w:val="203"/>
        </w:trPr>
        <w:tc>
          <w:tcPr>
            <w:tcW w:w="1020" w:type="dxa"/>
            <w:vAlign w:val="bottom"/>
          </w:tcPr>
          <w:p>
            <w:pPr>
              <w:spacing w:after="0"/>
              <w:rPr>
                <w:sz w:val="17"/>
                <w:szCs w:val="17"/>
                <w:color w:val="auto"/>
              </w:rPr>
            </w:pPr>
          </w:p>
        </w:tc>
        <w:tc>
          <w:tcPr>
            <w:tcW w:w="3460" w:type="dxa"/>
            <w:vAlign w:val="bottom"/>
          </w:tcPr>
          <w:p>
            <w:pPr>
              <w:ind w:left="80"/>
              <w:spacing w:after="0" w:line="202" w:lineRule="exact"/>
              <w:rPr>
                <w:sz w:val="20"/>
                <w:szCs w:val="20"/>
                <w:color w:val="auto"/>
              </w:rPr>
            </w:pPr>
            <w:r>
              <w:rPr>
                <w:rFonts w:ascii="Arial" w:cs="Arial" w:eastAsia="Arial" w:hAnsi="Arial"/>
                <w:sz w:val="18"/>
                <w:szCs w:val="18"/>
                <w:color w:val="auto"/>
              </w:rPr>
              <w:t>whose shares are listed on a stock</w:t>
            </w:r>
          </w:p>
        </w:tc>
        <w:tc>
          <w:tcPr>
            <w:tcW w:w="0" w:type="dxa"/>
            <w:vAlign w:val="bottom"/>
          </w:tcPr>
          <w:p>
            <w:pPr>
              <w:spacing w:after="0"/>
              <w:rPr>
                <w:sz w:val="1"/>
                <w:szCs w:val="1"/>
                <w:color w:val="auto"/>
              </w:rPr>
            </w:pPr>
          </w:p>
        </w:tc>
      </w:tr>
      <w:tr>
        <w:trPr>
          <w:trHeight w:val="239"/>
        </w:trPr>
        <w:tc>
          <w:tcPr>
            <w:tcW w:w="1020" w:type="dxa"/>
            <w:vAlign w:val="bottom"/>
          </w:tcPr>
          <w:p>
            <w:pPr>
              <w:spacing w:after="0"/>
              <w:rPr>
                <w:sz w:val="20"/>
                <w:szCs w:val="20"/>
                <w:color w:val="auto"/>
              </w:rPr>
            </w:pPr>
          </w:p>
        </w:tc>
        <w:tc>
          <w:tcPr>
            <w:tcW w:w="3460" w:type="dxa"/>
            <w:vAlign w:val="bottom"/>
          </w:tcPr>
          <w:p>
            <w:pPr>
              <w:ind w:left="80"/>
              <w:spacing w:after="0"/>
              <w:rPr>
                <w:sz w:val="20"/>
                <w:szCs w:val="20"/>
                <w:color w:val="auto"/>
              </w:rPr>
            </w:pPr>
            <w:r>
              <w:rPr>
                <w:rFonts w:ascii="Arial" w:cs="Arial" w:eastAsia="Arial" w:hAnsi="Arial"/>
                <w:sz w:val="18"/>
                <w:szCs w:val="18"/>
                <w:color w:val="auto"/>
              </w:rPr>
              <w:t>exchange.</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1100" w:hanging="232"/>
        <w:spacing w:after="0" w:line="206" w:lineRule="auto"/>
        <w:tabs>
          <w:tab w:leader="none" w:pos="1100" w:val="left"/>
        </w:tabs>
        <w:numPr>
          <w:ilvl w:val="0"/>
          <w:numId w:val="177"/>
        </w:numPr>
        <w:rPr>
          <w:rFonts w:ascii="Arial" w:cs="Arial" w:eastAsia="Arial" w:hAnsi="Arial"/>
          <w:sz w:val="29"/>
          <w:szCs w:val="29"/>
          <w:color w:val="auto"/>
          <w:vertAlign w:val="superscript"/>
        </w:rPr>
      </w:pPr>
      <w:r>
        <w:rPr>
          <w:rFonts w:ascii="Arial" w:cs="Arial" w:eastAsia="Arial" w:hAnsi="Arial"/>
          <w:sz w:val="18"/>
          <w:szCs w:val="18"/>
          <w:color w:val="auto"/>
        </w:rPr>
        <w:t>The following Mandates shall not be subject to the limitations set forth in para. 1 and para. 2 of this Article 29e:</w:t>
      </w:r>
    </w:p>
    <w:p>
      <w:pPr>
        <w:spacing w:after="0" w:line="19" w:lineRule="exact"/>
        <w:rPr>
          <w:rFonts w:ascii="Arial" w:cs="Arial" w:eastAsia="Arial" w:hAnsi="Arial"/>
          <w:sz w:val="29"/>
          <w:szCs w:val="29"/>
          <w:color w:val="auto"/>
          <w:vertAlign w:val="superscript"/>
        </w:rPr>
      </w:pPr>
    </w:p>
    <w:p>
      <w:pPr>
        <w:ind w:left="1520" w:right="80" w:hanging="369"/>
        <w:spacing w:after="0" w:line="253" w:lineRule="auto"/>
        <w:tabs>
          <w:tab w:leader="none" w:pos="152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Mandates in any Person which Controls, is Controlled by or is under common Control with the Company;</w:t>
      </w:r>
    </w:p>
    <w:p>
      <w:pPr>
        <w:spacing w:after="0" w:line="200" w:lineRule="exact"/>
        <w:rPr>
          <w:rFonts w:ascii="Arial" w:cs="Arial" w:eastAsia="Arial" w:hAnsi="Arial"/>
          <w:sz w:val="18"/>
          <w:szCs w:val="18"/>
          <w:color w:val="auto"/>
        </w:rPr>
      </w:pPr>
    </w:p>
    <w:p>
      <w:pPr>
        <w:spacing w:after="0" w:line="211" w:lineRule="exact"/>
        <w:rPr>
          <w:rFonts w:ascii="Arial" w:cs="Arial" w:eastAsia="Arial" w:hAnsi="Arial"/>
          <w:sz w:val="18"/>
          <w:szCs w:val="18"/>
          <w:color w:val="auto"/>
        </w:rPr>
      </w:pPr>
    </w:p>
    <w:p>
      <w:pPr>
        <w:ind w:left="1520" w:right="100" w:hanging="369"/>
        <w:spacing w:after="0" w:line="244" w:lineRule="auto"/>
        <w:tabs>
          <w:tab w:leader="none" w:pos="152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Without limitation to subpara. a above, Mandates held at the instruction of the Company or any Person which Controls, is Controlled by or is under common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-3121025</wp:posOffset>
            </wp:positionH>
            <wp:positionV relativeFrom="paragraph">
              <wp:posOffset>329565</wp:posOffset>
            </wp:positionV>
            <wp:extent cx="629221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3">
            <w:col w:w="700" w:space="277"/>
            <w:col w:w="3623" w:space="180"/>
            <w:col w:w="4520"/>
          </w:cols>
          <w:pgMar w:left="1220" w:top="670" w:right="1379" w:bottom="1440" w:gutter="0" w:footer="0" w:header="0"/>
          <w:type w:val="continuous"/>
        </w:sectPr>
      </w:pPr>
    </w:p>
    <w:bookmarkStart w:id="45" w:name="page46"/>
    <w:bookmarkEnd w:id="45"/>
    <w:p>
      <w:pPr>
        <w:jc w:val="center"/>
        <w:ind w:right="-359"/>
        <w:spacing w:after="0"/>
        <w:rPr>
          <w:sz w:val="20"/>
          <w:szCs w:val="20"/>
          <w:color w:val="auto"/>
        </w:rPr>
      </w:pPr>
      <w:r>
        <w:rPr>
          <w:rFonts w:ascii="Arial" w:cs="Arial" w:eastAsia="Arial" w:hAnsi="Arial"/>
          <w:sz w:val="13"/>
          <w:szCs w:val="13"/>
          <w:color w:val="auto"/>
        </w:rPr>
        <w:t>- 38 -</w:t>
      </w:r>
    </w:p>
    <w:p>
      <w:pPr>
        <w:sectPr>
          <w:pgSz w:w="11900" w:h="16838" w:orient="portrait"/>
          <w:cols w:equalWidth="0" w:num="1">
            <w:col w:w="9280"/>
          </w:cols>
          <w:pgMar w:left="1220" w:top="670"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620" w:right="442"/>
        <w:spacing w:after="0"/>
        <w:rPr>
          <w:sz w:val="20"/>
          <w:szCs w:val="20"/>
          <w:color w:val="auto"/>
        </w:rPr>
      </w:pPr>
      <w:r>
        <w:rPr>
          <w:rFonts w:ascii="Arial" w:cs="Arial" w:eastAsia="Arial" w:hAnsi="Arial"/>
          <w:sz w:val="18"/>
          <w:szCs w:val="18"/>
          <w:color w:val="auto"/>
        </w:rPr>
        <w:t>Gesellschaft kontrolliert werden oder unter gemeinsamer Kontrolle mit der Gesellschaft stehen, wahrgenommen werden. Kein Mitglied des Verwaltungsrates oder der Geschäftsleitung kann mehr als zehn (10) solche Mandate wahrnehmen; und</w:t>
      </w:r>
    </w:p>
    <w:p>
      <w:pPr>
        <w:spacing w:after="0" w:line="18" w:lineRule="exact"/>
        <w:rPr>
          <w:sz w:val="20"/>
          <w:szCs w:val="20"/>
          <w:color w:val="auto"/>
        </w:rPr>
      </w:pPr>
    </w:p>
    <w:p>
      <w:pPr>
        <w:ind w:left="1620" w:right="522" w:hanging="373"/>
        <w:spacing w:after="0" w:line="238" w:lineRule="auto"/>
        <w:tabs>
          <w:tab w:leader="none" w:pos="162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Mandate in Vereinen und Verbänden, gemeinnützigen Organisationen, Non-For-Profit Organisationen, Stiftungen (einschliesslich Personalfürsorgestiftungen), Trusts und ähnliche Personen. Kein Mitglied des Verwaltungsrates oder der Geschäftsleitung kann mehr als zehn (10) solche Mandate wahrnehmen.</w:t>
      </w:r>
    </w:p>
    <w:p>
      <w:pPr>
        <w:spacing w:after="0" w:line="78" w:lineRule="exact"/>
        <w:rPr>
          <w:sz w:val="20"/>
          <w:szCs w:val="20"/>
          <w:color w:val="auto"/>
        </w:rPr>
      </w:pPr>
    </w:p>
    <w:p>
      <w:pPr>
        <w:ind w:left="1200" w:right="462" w:hanging="237"/>
        <w:spacing w:after="0" w:line="223" w:lineRule="auto"/>
        <w:tabs>
          <w:tab w:leader="none" w:pos="1200" w:val="left"/>
        </w:tabs>
        <w:numPr>
          <w:ilvl w:val="0"/>
          <w:numId w:val="179"/>
        </w:numPr>
        <w:rPr>
          <w:rFonts w:ascii="Arial" w:cs="Arial" w:eastAsia="Arial" w:hAnsi="Arial"/>
          <w:sz w:val="29"/>
          <w:szCs w:val="29"/>
          <w:color w:val="auto"/>
          <w:vertAlign w:val="superscript"/>
        </w:rPr>
      </w:pPr>
      <w:r>
        <w:rPr>
          <w:rFonts w:ascii="Arial" w:cs="Arial" w:eastAsia="Arial" w:hAnsi="Arial"/>
          <w:sz w:val="18"/>
          <w:szCs w:val="18"/>
          <w:color w:val="auto"/>
        </w:rPr>
        <w:t>Als "Mandate" gelten Positionen in vergleichbaren Funktionen bei anderen Unternehmen mit wirtschaftlichem Zweck. Mandate in verschiedenen Rechtseinheiten, die unter einheitlicher Kontrolle oder gleicher wirtschaftlicher Berechtigung stehen, gelten als ein Mandat.</w:t>
      </w:r>
    </w:p>
    <w:p>
      <w:pPr>
        <w:spacing w:after="0" w:line="71" w:lineRule="exact"/>
        <w:rPr>
          <w:rFonts w:ascii="Arial" w:cs="Arial" w:eastAsia="Arial" w:hAnsi="Arial"/>
          <w:sz w:val="29"/>
          <w:szCs w:val="29"/>
          <w:color w:val="auto"/>
          <w:vertAlign w:val="superscript"/>
        </w:rPr>
      </w:pPr>
    </w:p>
    <w:p>
      <w:pPr>
        <w:ind w:left="1200"/>
        <w:spacing w:after="0"/>
        <w:rPr>
          <w:rFonts w:ascii="Arial" w:cs="Arial" w:eastAsia="Arial" w:hAnsi="Arial"/>
          <w:sz w:val="29"/>
          <w:szCs w:val="29"/>
          <w:color w:val="auto"/>
          <w:vertAlign w:val="superscript"/>
        </w:rPr>
      </w:pPr>
      <w:r>
        <w:rPr>
          <w:rFonts w:ascii="Arial" w:cs="Arial" w:eastAsia="Arial" w:hAnsi="Arial"/>
          <w:sz w:val="18"/>
          <w:szCs w:val="18"/>
          <w:b w:val="1"/>
          <w:bCs w:val="1"/>
          <w:color w:val="auto"/>
        </w:rPr>
        <w:t>Artikel 29f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0" w:lineRule="exact"/>
        <w:rPr>
          <w:sz w:val="20"/>
          <w:szCs w:val="20"/>
          <w:color w:val="auto"/>
        </w:rPr>
      </w:pPr>
    </w:p>
    <w:p>
      <w:pPr>
        <w:ind w:left="658"/>
        <w:spacing w:after="0" w:line="244" w:lineRule="auto"/>
        <w:rPr>
          <w:sz w:val="20"/>
          <w:szCs w:val="20"/>
          <w:color w:val="auto"/>
        </w:rPr>
      </w:pPr>
      <w:r>
        <w:rPr>
          <w:rFonts w:ascii="Arial" w:cs="Arial" w:eastAsia="Arial" w:hAnsi="Arial"/>
          <w:sz w:val="18"/>
          <w:szCs w:val="18"/>
          <w:color w:val="auto"/>
        </w:rPr>
        <w:t xml:space="preserve">Control with the Company;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 member of the</w:t>
      </w:r>
      <w:r>
        <w:rPr>
          <w:rFonts w:ascii="Arial" w:cs="Arial" w:eastAsia="Arial" w:hAnsi="Arial"/>
          <w:sz w:val="18"/>
          <w:szCs w:val="18"/>
          <w:i w:val="1"/>
          <w:iCs w:val="1"/>
          <w:color w:val="auto"/>
        </w:rPr>
        <w:t xml:space="preserve"> </w:t>
      </w:r>
      <w:r>
        <w:rPr>
          <w:rFonts w:ascii="Arial" w:cs="Arial" w:eastAsia="Arial" w:hAnsi="Arial"/>
          <w:sz w:val="18"/>
          <w:szCs w:val="18"/>
          <w:color w:val="auto"/>
        </w:rPr>
        <w:t>Board of Directors or the Executive Management Team shall hold more than ten (10) such Mandates; and</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658" w:hanging="375"/>
        <w:spacing w:after="0" w:line="239" w:lineRule="auto"/>
        <w:tabs>
          <w:tab w:leader="none" w:pos="658" w:val="left"/>
        </w:tabs>
        <w:numPr>
          <w:ilvl w:val="0"/>
          <w:numId w:val="180"/>
        </w:numPr>
        <w:rPr>
          <w:rFonts w:ascii="Arial" w:cs="Arial" w:eastAsia="Arial" w:hAnsi="Arial"/>
          <w:sz w:val="18"/>
          <w:szCs w:val="18"/>
          <w:color w:val="auto"/>
        </w:rPr>
      </w:pPr>
      <w:r>
        <w:rPr>
          <w:rFonts w:ascii="Arial" w:cs="Arial" w:eastAsia="Arial" w:hAnsi="Arial"/>
          <w:sz w:val="18"/>
          <w:szCs w:val="18"/>
          <w:color w:val="auto"/>
        </w:rPr>
        <w:t xml:space="preserve">Mandates in associations, charitable organizations, non-for-profit organizations, foundations (including in relation to post-retirement benefits), trusts and similar Persons; </w:t>
      </w:r>
      <w:r>
        <w:rPr>
          <w:rFonts w:ascii="Arial" w:cs="Arial" w:eastAsia="Arial" w:hAnsi="Arial"/>
          <w:sz w:val="18"/>
          <w:szCs w:val="18"/>
          <w:i w:val="1"/>
          <w:iCs w:val="1"/>
          <w:color w:val="auto"/>
        </w:rPr>
        <w:t xml:space="preserve">provided, however, </w:t>
      </w:r>
      <w:r>
        <w:rPr>
          <w:rFonts w:ascii="Arial" w:cs="Arial" w:eastAsia="Arial" w:hAnsi="Arial"/>
          <w:sz w:val="18"/>
          <w:szCs w:val="18"/>
          <w:color w:val="auto"/>
        </w:rPr>
        <w:t>that no member</w:t>
      </w:r>
      <w:r>
        <w:rPr>
          <w:rFonts w:ascii="Arial" w:cs="Arial" w:eastAsia="Arial" w:hAnsi="Arial"/>
          <w:sz w:val="18"/>
          <w:szCs w:val="18"/>
          <w:i w:val="1"/>
          <w:iCs w:val="1"/>
          <w:color w:val="auto"/>
        </w:rPr>
        <w:t xml:space="preserve"> </w:t>
      </w:r>
      <w:r>
        <w:rPr>
          <w:rFonts w:ascii="Arial" w:cs="Arial" w:eastAsia="Arial" w:hAnsi="Arial"/>
          <w:sz w:val="18"/>
          <w:szCs w:val="18"/>
          <w:color w:val="auto"/>
        </w:rPr>
        <w:t>of the Board of Directors or the Executive Management Team shall hold more than ten (10) such Mandates.</w:t>
      </w:r>
    </w:p>
    <w:p>
      <w:pPr>
        <w:spacing w:after="0" w:line="274" w:lineRule="exact"/>
        <w:rPr>
          <w:sz w:val="20"/>
          <w:szCs w:val="20"/>
          <w:color w:val="auto"/>
        </w:rPr>
      </w:pPr>
    </w:p>
    <w:p>
      <w:pPr>
        <w:ind w:left="238" w:hanging="238"/>
        <w:spacing w:after="0" w:line="259" w:lineRule="auto"/>
        <w:tabs>
          <w:tab w:leader="none" w:pos="238" w:val="left"/>
        </w:tabs>
        <w:numPr>
          <w:ilvl w:val="0"/>
          <w:numId w:val="181"/>
        </w:numPr>
        <w:rPr>
          <w:rFonts w:ascii="Arial" w:cs="Arial" w:eastAsia="Arial" w:hAnsi="Arial"/>
          <w:sz w:val="17"/>
          <w:szCs w:val="17"/>
          <w:color w:val="auto"/>
        </w:rPr>
      </w:pPr>
      <w:r>
        <w:rPr>
          <w:rFonts w:ascii="Arial" w:cs="Arial" w:eastAsia="Arial" w:hAnsi="Arial"/>
          <w:sz w:val="17"/>
          <w:szCs w:val="17"/>
          <w:color w:val="auto"/>
        </w:rPr>
        <w:t>"Mandates" shall mean positions in comparable functions at other enterprises with an economic purpose. Mandates in different legal entities that are under joint or common Control or same beneficial ownership shall be deemed one Mandate.</w:t>
      </w:r>
    </w:p>
    <w:p>
      <w:pPr>
        <w:spacing w:after="0" w:line="200" w:lineRule="exact"/>
        <w:rPr>
          <w:rFonts w:ascii="Arial" w:cs="Arial" w:eastAsia="Arial" w:hAnsi="Arial"/>
          <w:sz w:val="17"/>
          <w:szCs w:val="17"/>
          <w:color w:val="auto"/>
        </w:rPr>
      </w:pPr>
    </w:p>
    <w:p>
      <w:pPr>
        <w:spacing w:after="0" w:line="262" w:lineRule="exact"/>
        <w:rPr>
          <w:rFonts w:ascii="Arial" w:cs="Arial" w:eastAsia="Arial" w:hAnsi="Arial"/>
          <w:sz w:val="17"/>
          <w:szCs w:val="17"/>
          <w:color w:val="auto"/>
        </w:rPr>
      </w:pPr>
    </w:p>
    <w:p>
      <w:pPr>
        <w:ind w:left="238"/>
        <w:spacing w:after="0"/>
        <w:rPr>
          <w:rFonts w:ascii="Arial" w:cs="Arial" w:eastAsia="Arial" w:hAnsi="Arial"/>
          <w:sz w:val="17"/>
          <w:szCs w:val="17"/>
          <w:color w:val="auto"/>
        </w:rPr>
      </w:pPr>
      <w:r>
        <w:rPr>
          <w:rFonts w:ascii="Arial" w:cs="Arial" w:eastAsia="Arial" w:hAnsi="Arial"/>
          <w:sz w:val="18"/>
          <w:szCs w:val="18"/>
          <w:b w:val="1"/>
          <w:bCs w:val="1"/>
          <w:color w:val="auto"/>
        </w:rPr>
        <w:t>Article 29f</w:t>
      </w:r>
    </w:p>
    <w:p>
      <w:pPr>
        <w:spacing w:after="0" w:line="199" w:lineRule="exact"/>
        <w:rPr>
          <w:sz w:val="20"/>
          <w:szCs w:val="20"/>
          <w:color w:val="auto"/>
        </w:rPr>
      </w:pPr>
    </w:p>
    <w:p>
      <w:pPr>
        <w:sectPr>
          <w:pgSz w:w="11900" w:h="16838" w:orient="portrait"/>
          <w:cols w:equalWidth="0" w:num="2">
            <w:col w:w="4982" w:space="720"/>
            <w:col w:w="3578"/>
          </w:cols>
          <w:pgMar w:left="1220" w:top="670" w:right="139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820" w:type="dxa"/>
            <w:vAlign w:val="bottom"/>
          </w:tcPr>
          <w:p>
            <w:pPr>
              <w:spacing w:after="0"/>
              <w:rPr>
                <w:sz w:val="20"/>
                <w:szCs w:val="20"/>
                <w:color w:val="auto"/>
              </w:rPr>
            </w:pPr>
            <w:r>
              <w:rPr>
                <w:rFonts w:ascii="Arial" w:cs="Arial" w:eastAsia="Arial" w:hAnsi="Arial"/>
                <w:sz w:val="14"/>
                <w:szCs w:val="14"/>
                <w:color w:val="auto"/>
              </w:rPr>
              <w:t>Darlehen /</w:t>
            </w:r>
          </w:p>
        </w:tc>
        <w:tc>
          <w:tcPr>
            <w:tcW w:w="30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3420" w:type="dxa"/>
            <w:vAlign w:val="bottom"/>
          </w:tcPr>
          <w:p>
            <w:pPr>
              <w:ind w:left="80"/>
              <w:spacing w:after="0"/>
              <w:rPr>
                <w:sz w:val="20"/>
                <w:szCs w:val="20"/>
                <w:color w:val="auto"/>
              </w:rPr>
            </w:pPr>
            <w:r>
              <w:rPr>
                <w:rFonts w:ascii="Arial" w:cs="Arial" w:eastAsia="Arial" w:hAnsi="Arial"/>
                <w:sz w:val="18"/>
                <w:szCs w:val="18"/>
                <w:color w:val="auto"/>
              </w:rPr>
              <w:t>Die Gesellschaft oder von ihr kontrollierte</w:t>
            </w:r>
          </w:p>
        </w:tc>
        <w:tc>
          <w:tcPr>
            <w:tcW w:w="0" w:type="dxa"/>
            <w:vAlign w:val="bottom"/>
          </w:tcPr>
          <w:p>
            <w:pPr>
              <w:spacing w:after="0"/>
              <w:rPr>
                <w:sz w:val="1"/>
                <w:szCs w:val="1"/>
                <w:color w:val="auto"/>
              </w:rPr>
            </w:pPr>
          </w:p>
        </w:tc>
      </w:tr>
      <w:tr>
        <w:trPr>
          <w:trHeight w:val="203"/>
        </w:trPr>
        <w:tc>
          <w:tcPr>
            <w:tcW w:w="820" w:type="dxa"/>
            <w:vAlign w:val="bottom"/>
          </w:tcPr>
          <w:p>
            <w:pPr>
              <w:spacing w:after="0"/>
              <w:rPr>
                <w:sz w:val="20"/>
                <w:szCs w:val="20"/>
                <w:color w:val="auto"/>
              </w:rPr>
            </w:pPr>
            <w:r>
              <w:rPr>
                <w:rFonts w:ascii="Arial" w:cs="Arial" w:eastAsia="Arial" w:hAnsi="Arial"/>
                <w:sz w:val="14"/>
                <w:szCs w:val="14"/>
                <w:color w:val="auto"/>
              </w:rPr>
              <w:t>Vorsorge-</w:t>
            </w:r>
          </w:p>
        </w:tc>
        <w:tc>
          <w:tcPr>
            <w:tcW w:w="300" w:type="dxa"/>
            <w:vAlign w:val="bottom"/>
          </w:tcPr>
          <w:p>
            <w:pPr>
              <w:spacing w:after="0"/>
              <w:rPr>
                <w:sz w:val="17"/>
                <w:szCs w:val="17"/>
                <w:color w:val="auto"/>
              </w:rPr>
            </w:pPr>
          </w:p>
        </w:tc>
        <w:tc>
          <w:tcPr>
            <w:tcW w:w="3420" w:type="dxa"/>
            <w:vAlign w:val="bottom"/>
          </w:tcPr>
          <w:p>
            <w:pPr>
              <w:ind w:left="80"/>
              <w:spacing w:after="0" w:line="202" w:lineRule="exact"/>
              <w:rPr>
                <w:sz w:val="20"/>
                <w:szCs w:val="20"/>
                <w:color w:val="auto"/>
              </w:rPr>
            </w:pPr>
            <w:r>
              <w:rPr>
                <w:rFonts w:ascii="Arial" w:cs="Arial" w:eastAsia="Arial" w:hAnsi="Arial"/>
                <w:sz w:val="18"/>
                <w:szCs w:val="18"/>
                <w:color w:val="auto"/>
              </w:rPr>
              <w:t>Gesellschaften entrichten keine Darlehen</w:t>
            </w:r>
          </w:p>
        </w:tc>
        <w:tc>
          <w:tcPr>
            <w:tcW w:w="0" w:type="dxa"/>
            <w:vAlign w:val="bottom"/>
          </w:tcPr>
          <w:p>
            <w:pPr>
              <w:spacing w:after="0"/>
              <w:rPr>
                <w:sz w:val="1"/>
                <w:szCs w:val="1"/>
                <w:color w:val="auto"/>
              </w:rPr>
            </w:pPr>
          </w:p>
        </w:tc>
      </w:tr>
      <w:tr>
        <w:trPr>
          <w:trHeight w:val="112"/>
        </w:trPr>
        <w:tc>
          <w:tcPr>
            <w:tcW w:w="820" w:type="dxa"/>
            <w:vAlign w:val="bottom"/>
          </w:tcPr>
          <w:p>
            <w:pPr>
              <w:spacing w:after="0" w:line="113" w:lineRule="exact"/>
              <w:rPr>
                <w:sz w:val="20"/>
                <w:szCs w:val="20"/>
                <w:color w:val="auto"/>
              </w:rPr>
            </w:pPr>
            <w:r>
              <w:rPr>
                <w:rFonts w:ascii="Arial" w:cs="Arial" w:eastAsia="Arial" w:hAnsi="Arial"/>
                <w:sz w:val="13"/>
                <w:szCs w:val="13"/>
                <w:color w:val="auto"/>
              </w:rPr>
              <w:t>leistungen</w:t>
            </w:r>
          </w:p>
        </w:tc>
        <w:tc>
          <w:tcPr>
            <w:tcW w:w="300" w:type="dxa"/>
            <w:vAlign w:val="bottom"/>
          </w:tcPr>
          <w:p>
            <w:pPr>
              <w:spacing w:after="0"/>
              <w:rPr>
                <w:sz w:val="9"/>
                <w:szCs w:val="9"/>
                <w:color w:val="auto"/>
              </w:rPr>
            </w:pPr>
          </w:p>
        </w:tc>
        <w:tc>
          <w:tcPr>
            <w:tcW w:w="3420" w:type="dxa"/>
            <w:vAlign w:val="bottom"/>
            <w:vMerge w:val="restart"/>
          </w:tcPr>
          <w:p>
            <w:pPr>
              <w:ind w:left="80"/>
              <w:spacing w:after="0"/>
              <w:rPr>
                <w:sz w:val="20"/>
                <w:szCs w:val="20"/>
                <w:color w:val="auto"/>
              </w:rPr>
            </w:pPr>
            <w:r>
              <w:rPr>
                <w:rFonts w:ascii="Arial" w:cs="Arial" w:eastAsia="Arial" w:hAnsi="Arial"/>
                <w:sz w:val="18"/>
                <w:szCs w:val="18"/>
                <w:color w:val="auto"/>
              </w:rPr>
              <w:t>an Mitglieder des Verwaltungsrates oder</w:t>
            </w:r>
          </w:p>
        </w:tc>
        <w:tc>
          <w:tcPr>
            <w:tcW w:w="0" w:type="dxa"/>
            <w:vAlign w:val="bottom"/>
          </w:tcPr>
          <w:p>
            <w:pPr>
              <w:spacing w:after="0"/>
              <w:rPr>
                <w:sz w:val="1"/>
                <w:szCs w:val="1"/>
                <w:color w:val="auto"/>
              </w:rPr>
            </w:pPr>
          </w:p>
        </w:tc>
      </w:tr>
      <w:tr>
        <w:trPr>
          <w:trHeight w:val="144"/>
        </w:trPr>
        <w:tc>
          <w:tcPr>
            <w:tcW w:w="820" w:type="dxa"/>
            <w:vAlign w:val="bottom"/>
          </w:tcPr>
          <w:p>
            <w:pPr>
              <w:spacing w:after="0" w:line="145" w:lineRule="exact"/>
              <w:rPr>
                <w:sz w:val="20"/>
                <w:szCs w:val="20"/>
                <w:color w:val="auto"/>
              </w:rPr>
            </w:pPr>
            <w:r>
              <w:rPr>
                <w:rFonts w:ascii="Arial" w:cs="Arial" w:eastAsia="Arial" w:hAnsi="Arial"/>
                <w:sz w:val="14"/>
                <w:szCs w:val="14"/>
                <w:color w:val="auto"/>
              </w:rPr>
              <w:t>ausserhalb</w:t>
            </w:r>
          </w:p>
        </w:tc>
        <w:tc>
          <w:tcPr>
            <w:tcW w:w="300" w:type="dxa"/>
            <w:vAlign w:val="bottom"/>
          </w:tcPr>
          <w:p>
            <w:pPr>
              <w:spacing w:after="0"/>
              <w:rPr>
                <w:sz w:val="12"/>
                <w:szCs w:val="12"/>
                <w:color w:val="auto"/>
              </w:rPr>
            </w:pPr>
          </w:p>
        </w:tc>
        <w:tc>
          <w:tcPr>
            <w:tcW w:w="3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820" w:type="dxa"/>
            <w:vAlign w:val="bottom"/>
          </w:tcPr>
          <w:p>
            <w:pPr>
              <w:spacing w:after="0"/>
              <w:rPr>
                <w:sz w:val="20"/>
                <w:szCs w:val="20"/>
                <w:color w:val="auto"/>
              </w:rPr>
            </w:pPr>
            <w:r>
              <w:rPr>
                <w:rFonts w:ascii="Arial" w:cs="Arial" w:eastAsia="Arial" w:hAnsi="Arial"/>
                <w:sz w:val="14"/>
                <w:szCs w:val="14"/>
                <w:color w:val="auto"/>
              </w:rPr>
              <w:t>der</w:t>
            </w:r>
          </w:p>
        </w:tc>
        <w:tc>
          <w:tcPr>
            <w:tcW w:w="300" w:type="dxa"/>
            <w:vAlign w:val="bottom"/>
          </w:tcPr>
          <w:p>
            <w:pPr>
              <w:spacing w:after="0"/>
              <w:rPr>
                <w:sz w:val="15"/>
                <w:szCs w:val="15"/>
                <w:color w:val="auto"/>
              </w:rPr>
            </w:pPr>
          </w:p>
        </w:tc>
        <w:tc>
          <w:tcPr>
            <w:tcW w:w="3420" w:type="dxa"/>
            <w:vAlign w:val="bottom"/>
          </w:tcPr>
          <w:p>
            <w:pPr>
              <w:ind w:left="80"/>
              <w:spacing w:after="0" w:line="180" w:lineRule="exact"/>
              <w:rPr>
                <w:sz w:val="20"/>
                <w:szCs w:val="20"/>
                <w:color w:val="auto"/>
              </w:rPr>
            </w:pPr>
            <w:r>
              <w:rPr>
                <w:rFonts w:ascii="Arial" w:cs="Arial" w:eastAsia="Arial" w:hAnsi="Arial"/>
                <w:sz w:val="18"/>
                <w:szCs w:val="18"/>
                <w:color w:val="auto"/>
              </w:rPr>
              <w:t>der Geschäftsleitung.</w:t>
            </w:r>
          </w:p>
        </w:tc>
        <w:tc>
          <w:tcPr>
            <w:tcW w:w="0" w:type="dxa"/>
            <w:vAlign w:val="bottom"/>
          </w:tcPr>
          <w:p>
            <w:pPr>
              <w:spacing w:after="0"/>
              <w:rPr>
                <w:sz w:val="1"/>
                <w:szCs w:val="1"/>
                <w:color w:val="auto"/>
              </w:rPr>
            </w:pPr>
          </w:p>
        </w:tc>
      </w:tr>
      <w:tr>
        <w:trPr>
          <w:trHeight w:val="162"/>
        </w:trPr>
        <w:tc>
          <w:tcPr>
            <w:tcW w:w="820" w:type="dxa"/>
            <w:vAlign w:val="bottom"/>
          </w:tcPr>
          <w:p>
            <w:pPr>
              <w:spacing w:after="0"/>
              <w:rPr>
                <w:sz w:val="20"/>
                <w:szCs w:val="20"/>
                <w:color w:val="auto"/>
              </w:rPr>
            </w:pPr>
            <w:r>
              <w:rPr>
                <w:rFonts w:ascii="Arial" w:cs="Arial" w:eastAsia="Arial" w:hAnsi="Arial"/>
                <w:sz w:val="14"/>
                <w:szCs w:val="14"/>
                <w:color w:val="auto"/>
              </w:rPr>
              <w:t>beruflichen</w:t>
            </w:r>
          </w:p>
        </w:tc>
        <w:tc>
          <w:tcPr>
            <w:tcW w:w="30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820" w:type="dxa"/>
            <w:vAlign w:val="bottom"/>
          </w:tcPr>
          <w:p>
            <w:pPr>
              <w:spacing w:after="0"/>
              <w:rPr>
                <w:sz w:val="20"/>
                <w:szCs w:val="20"/>
                <w:color w:val="auto"/>
              </w:rPr>
            </w:pPr>
            <w:r>
              <w:rPr>
                <w:rFonts w:ascii="Arial" w:cs="Arial" w:eastAsia="Arial" w:hAnsi="Arial"/>
                <w:sz w:val="14"/>
                <w:szCs w:val="14"/>
                <w:color w:val="auto"/>
              </w:rPr>
              <w:t>Vorsorge</w:t>
            </w:r>
          </w:p>
        </w:tc>
        <w:tc>
          <w:tcPr>
            <w:tcW w:w="30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820" w:type="dxa"/>
            <w:vAlign w:val="bottom"/>
          </w:tcPr>
          <w:p>
            <w:pPr>
              <w:spacing w:after="0"/>
              <w:rPr>
                <w:sz w:val="23"/>
                <w:szCs w:val="23"/>
                <w:color w:val="auto"/>
              </w:rPr>
            </w:pPr>
          </w:p>
        </w:tc>
        <w:tc>
          <w:tcPr>
            <w:tcW w:w="30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3420" w:type="dxa"/>
            <w:vAlign w:val="bottom"/>
          </w:tcPr>
          <w:p>
            <w:pPr>
              <w:ind w:left="80"/>
              <w:spacing w:after="0"/>
              <w:rPr>
                <w:sz w:val="20"/>
                <w:szCs w:val="20"/>
                <w:color w:val="auto"/>
              </w:rPr>
            </w:pPr>
            <w:r>
              <w:rPr>
                <w:rFonts w:ascii="Arial" w:cs="Arial" w:eastAsia="Arial" w:hAnsi="Arial"/>
                <w:sz w:val="18"/>
                <w:szCs w:val="18"/>
                <w:color w:val="auto"/>
              </w:rPr>
              <w:t>Die Gesellschaft oder von ihr kontrollierte</w:t>
            </w:r>
          </w:p>
        </w:tc>
        <w:tc>
          <w:tcPr>
            <w:tcW w:w="0" w:type="dxa"/>
            <w:vAlign w:val="bottom"/>
          </w:tcPr>
          <w:p>
            <w:pPr>
              <w:spacing w:after="0"/>
              <w:rPr>
                <w:sz w:val="1"/>
                <w:szCs w:val="1"/>
                <w:color w:val="auto"/>
              </w:rPr>
            </w:pPr>
          </w:p>
        </w:tc>
      </w:tr>
      <w:tr>
        <w:trPr>
          <w:trHeight w:val="203"/>
        </w:trPr>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20" w:type="dxa"/>
            <w:vAlign w:val="bottom"/>
          </w:tcPr>
          <w:p>
            <w:pPr>
              <w:ind w:left="80"/>
              <w:spacing w:after="0" w:line="202" w:lineRule="exact"/>
              <w:rPr>
                <w:sz w:val="20"/>
                <w:szCs w:val="20"/>
                <w:color w:val="auto"/>
              </w:rPr>
            </w:pPr>
            <w:r>
              <w:rPr>
                <w:rFonts w:ascii="Arial" w:cs="Arial" w:eastAsia="Arial" w:hAnsi="Arial"/>
                <w:sz w:val="18"/>
                <w:szCs w:val="18"/>
                <w:color w:val="auto"/>
                <w:w w:val="99"/>
              </w:rPr>
              <w:t>Gesellschaften können an ein Mitglied der</w:t>
            </w:r>
          </w:p>
        </w:tc>
        <w:tc>
          <w:tcPr>
            <w:tcW w:w="0" w:type="dxa"/>
            <w:vAlign w:val="bottom"/>
          </w:tcPr>
          <w:p>
            <w:pPr>
              <w:spacing w:after="0"/>
              <w:rPr>
                <w:sz w:val="1"/>
                <w:szCs w:val="1"/>
                <w:color w:val="auto"/>
              </w:rPr>
            </w:pPr>
          </w:p>
        </w:tc>
      </w:tr>
      <w:tr>
        <w:trPr>
          <w:trHeight w:val="203"/>
        </w:trPr>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20" w:type="dxa"/>
            <w:vAlign w:val="bottom"/>
          </w:tcPr>
          <w:p>
            <w:pPr>
              <w:ind w:left="80"/>
              <w:spacing w:after="0" w:line="202" w:lineRule="exact"/>
              <w:rPr>
                <w:sz w:val="20"/>
                <w:szCs w:val="20"/>
                <w:color w:val="auto"/>
              </w:rPr>
            </w:pPr>
            <w:r>
              <w:rPr>
                <w:rFonts w:ascii="Arial" w:cs="Arial" w:eastAsia="Arial" w:hAnsi="Arial"/>
                <w:sz w:val="18"/>
                <w:szCs w:val="18"/>
                <w:color w:val="auto"/>
              </w:rPr>
              <w:t>Geschäftsleitung Vorsorgeleistungen</w:t>
            </w:r>
          </w:p>
        </w:tc>
        <w:tc>
          <w:tcPr>
            <w:tcW w:w="0" w:type="dxa"/>
            <w:vAlign w:val="bottom"/>
          </w:tcPr>
          <w:p>
            <w:pPr>
              <w:spacing w:after="0"/>
              <w:rPr>
                <w:sz w:val="1"/>
                <w:szCs w:val="1"/>
                <w:color w:val="auto"/>
              </w:rPr>
            </w:pPr>
          </w:p>
        </w:tc>
      </w:tr>
      <w:tr>
        <w:trPr>
          <w:trHeight w:val="203"/>
        </w:trPr>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20" w:type="dxa"/>
            <w:vAlign w:val="bottom"/>
          </w:tcPr>
          <w:p>
            <w:pPr>
              <w:ind w:left="80"/>
              <w:spacing w:after="0" w:line="202" w:lineRule="exact"/>
              <w:rPr>
                <w:sz w:val="20"/>
                <w:szCs w:val="20"/>
                <w:color w:val="auto"/>
              </w:rPr>
            </w:pPr>
            <w:r>
              <w:rPr>
                <w:rFonts w:ascii="Arial" w:cs="Arial" w:eastAsia="Arial" w:hAnsi="Arial"/>
                <w:sz w:val="18"/>
                <w:szCs w:val="18"/>
                <w:color w:val="auto"/>
              </w:rPr>
              <w:t>ausserhalb der beruflichen Vorsorge</w:t>
            </w:r>
          </w:p>
        </w:tc>
        <w:tc>
          <w:tcPr>
            <w:tcW w:w="0" w:type="dxa"/>
            <w:vAlign w:val="bottom"/>
          </w:tcPr>
          <w:p>
            <w:pPr>
              <w:spacing w:after="0"/>
              <w:rPr>
                <w:sz w:val="1"/>
                <w:szCs w:val="1"/>
                <w:color w:val="auto"/>
              </w:rPr>
            </w:pPr>
          </w:p>
        </w:tc>
      </w:tr>
      <w:tr>
        <w:trPr>
          <w:trHeight w:val="203"/>
        </w:trPr>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20" w:type="dxa"/>
            <w:vAlign w:val="bottom"/>
          </w:tcPr>
          <w:p>
            <w:pPr>
              <w:ind w:left="80"/>
              <w:spacing w:after="0" w:line="202" w:lineRule="exact"/>
              <w:rPr>
                <w:sz w:val="20"/>
                <w:szCs w:val="20"/>
                <w:color w:val="auto"/>
              </w:rPr>
            </w:pPr>
            <w:r>
              <w:rPr>
                <w:rFonts w:ascii="Arial" w:cs="Arial" w:eastAsia="Arial" w:hAnsi="Arial"/>
                <w:sz w:val="18"/>
                <w:szCs w:val="18"/>
                <w:color w:val="auto"/>
              </w:rPr>
              <w:t>ausrichten, wobei solche</w:t>
            </w:r>
          </w:p>
        </w:tc>
        <w:tc>
          <w:tcPr>
            <w:tcW w:w="0" w:type="dxa"/>
            <w:vAlign w:val="bottom"/>
          </w:tcPr>
          <w:p>
            <w:pPr>
              <w:spacing w:after="0"/>
              <w:rPr>
                <w:sz w:val="1"/>
                <w:szCs w:val="1"/>
                <w:color w:val="auto"/>
              </w:rPr>
            </w:pPr>
          </w:p>
        </w:tc>
      </w:tr>
      <w:tr>
        <w:trPr>
          <w:trHeight w:val="203"/>
        </w:trPr>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20" w:type="dxa"/>
            <w:vAlign w:val="bottom"/>
          </w:tcPr>
          <w:p>
            <w:pPr>
              <w:ind w:left="80"/>
              <w:spacing w:after="0" w:line="202" w:lineRule="exact"/>
              <w:rPr>
                <w:sz w:val="20"/>
                <w:szCs w:val="20"/>
                <w:color w:val="auto"/>
              </w:rPr>
            </w:pPr>
            <w:r>
              <w:rPr>
                <w:rFonts w:ascii="Arial" w:cs="Arial" w:eastAsia="Arial" w:hAnsi="Arial"/>
                <w:sz w:val="18"/>
                <w:szCs w:val="18"/>
                <w:color w:val="auto"/>
              </w:rPr>
              <w:t>Vorsorgeleistungen 50% des Basissalärs</w:t>
            </w:r>
          </w:p>
        </w:tc>
        <w:tc>
          <w:tcPr>
            <w:tcW w:w="0" w:type="dxa"/>
            <w:vAlign w:val="bottom"/>
          </w:tcPr>
          <w:p>
            <w:pPr>
              <w:spacing w:after="0"/>
              <w:rPr>
                <w:sz w:val="1"/>
                <w:szCs w:val="1"/>
                <w:color w:val="auto"/>
              </w:rPr>
            </w:pPr>
          </w:p>
        </w:tc>
      </w:tr>
      <w:tr>
        <w:trPr>
          <w:trHeight w:val="203"/>
        </w:trPr>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20" w:type="dxa"/>
            <w:vAlign w:val="bottom"/>
          </w:tcPr>
          <w:p>
            <w:pPr>
              <w:ind w:left="80"/>
              <w:spacing w:after="0" w:line="202" w:lineRule="exact"/>
              <w:rPr>
                <w:sz w:val="20"/>
                <w:szCs w:val="20"/>
                <w:color w:val="auto"/>
              </w:rPr>
            </w:pPr>
            <w:r>
              <w:rPr>
                <w:rFonts w:ascii="Arial" w:cs="Arial" w:eastAsia="Arial" w:hAnsi="Arial"/>
                <w:sz w:val="18"/>
                <w:szCs w:val="18"/>
                <w:color w:val="auto"/>
              </w:rPr>
              <w:t>im Geschäftsjahr, das der Pensionierung</w:t>
            </w:r>
          </w:p>
        </w:tc>
        <w:tc>
          <w:tcPr>
            <w:tcW w:w="0" w:type="dxa"/>
            <w:vAlign w:val="bottom"/>
          </w:tcPr>
          <w:p>
            <w:pPr>
              <w:spacing w:after="0"/>
              <w:rPr>
                <w:sz w:val="1"/>
                <w:szCs w:val="1"/>
                <w:color w:val="auto"/>
              </w:rPr>
            </w:pPr>
          </w:p>
        </w:tc>
      </w:tr>
      <w:tr>
        <w:trPr>
          <w:trHeight w:val="203"/>
        </w:trPr>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20" w:type="dxa"/>
            <w:vAlign w:val="bottom"/>
          </w:tcPr>
          <w:p>
            <w:pPr>
              <w:ind w:left="80"/>
              <w:spacing w:after="0" w:line="202" w:lineRule="exact"/>
              <w:rPr>
                <w:sz w:val="20"/>
                <w:szCs w:val="20"/>
                <w:color w:val="auto"/>
              </w:rPr>
            </w:pPr>
            <w:r>
              <w:rPr>
                <w:rFonts w:ascii="Arial" w:cs="Arial" w:eastAsia="Arial" w:hAnsi="Arial"/>
                <w:sz w:val="18"/>
                <w:szCs w:val="18"/>
                <w:color w:val="auto"/>
              </w:rPr>
              <w:t>unmittelbar vorausgeht, nicht übersteigen</w:t>
            </w:r>
          </w:p>
        </w:tc>
        <w:tc>
          <w:tcPr>
            <w:tcW w:w="0" w:type="dxa"/>
            <w:vAlign w:val="bottom"/>
          </w:tcPr>
          <w:p>
            <w:pPr>
              <w:spacing w:after="0"/>
              <w:rPr>
                <w:sz w:val="1"/>
                <w:szCs w:val="1"/>
                <w:color w:val="auto"/>
              </w:rPr>
            </w:pPr>
          </w:p>
        </w:tc>
      </w:tr>
      <w:tr>
        <w:trPr>
          <w:trHeight w:val="239"/>
        </w:trPr>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20" w:type="dxa"/>
            <w:vAlign w:val="bottom"/>
          </w:tcPr>
          <w:p>
            <w:pPr>
              <w:ind w:left="80"/>
              <w:spacing w:after="0"/>
              <w:rPr>
                <w:sz w:val="20"/>
                <w:szCs w:val="20"/>
                <w:color w:val="auto"/>
              </w:rPr>
            </w:pPr>
            <w:r>
              <w:rPr>
                <w:rFonts w:ascii="Arial" w:cs="Arial" w:eastAsia="Arial" w:hAnsi="Arial"/>
                <w:sz w:val="18"/>
                <w:szCs w:val="18"/>
                <w:color w:val="auto"/>
              </w:rPr>
              <w:t>dürfen.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Loans /</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Post-</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Retirement</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Benefits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Beyond</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Occupational</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Pensions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1840865</wp:posOffset>
            </wp:positionV>
            <wp:extent cx="629221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ind w:left="238" w:right="80" w:hanging="238"/>
        <w:spacing w:after="0" w:line="212" w:lineRule="auto"/>
        <w:tabs>
          <w:tab w:leader="none" w:pos="238" w:val="left"/>
        </w:tabs>
        <w:numPr>
          <w:ilvl w:val="0"/>
          <w:numId w:val="182"/>
        </w:numPr>
        <w:rPr>
          <w:rFonts w:ascii="Arial" w:cs="Arial" w:eastAsia="Arial" w:hAnsi="Arial"/>
          <w:sz w:val="29"/>
          <w:szCs w:val="29"/>
          <w:color w:val="auto"/>
          <w:vertAlign w:val="superscript"/>
        </w:rPr>
      </w:pPr>
      <w:r>
        <w:rPr>
          <w:rFonts w:ascii="Arial" w:cs="Arial" w:eastAsia="Arial" w:hAnsi="Arial"/>
          <w:sz w:val="18"/>
          <w:szCs w:val="18"/>
          <w:color w:val="auto"/>
        </w:rPr>
        <w:t>The Company or companies under its control shall not grant any loans to members of the Board of Directors or the Executive Management Team.</w:t>
      </w:r>
    </w:p>
    <w:p>
      <w:pPr>
        <w:spacing w:after="0" w:line="399" w:lineRule="exact"/>
        <w:rPr>
          <w:sz w:val="20"/>
          <w:szCs w:val="20"/>
          <w:color w:val="auto"/>
        </w:rPr>
      </w:pPr>
    </w:p>
    <w:p>
      <w:pPr>
        <w:ind w:left="238" w:right="160" w:hanging="238"/>
        <w:spacing w:after="0" w:line="224" w:lineRule="auto"/>
        <w:tabs>
          <w:tab w:leader="none" w:pos="238" w:val="left"/>
        </w:tabs>
        <w:numPr>
          <w:ilvl w:val="0"/>
          <w:numId w:val="183"/>
        </w:numPr>
        <w:rPr>
          <w:rFonts w:ascii="Arial" w:cs="Arial" w:eastAsia="Arial" w:hAnsi="Arial"/>
          <w:sz w:val="29"/>
          <w:szCs w:val="29"/>
          <w:color w:val="auto"/>
          <w:vertAlign w:val="superscript"/>
        </w:rPr>
      </w:pPr>
      <w:r>
        <w:rPr>
          <w:rFonts w:ascii="Arial" w:cs="Arial" w:eastAsia="Arial" w:hAnsi="Arial"/>
          <w:sz w:val="18"/>
          <w:szCs w:val="18"/>
          <w:color w:val="auto"/>
        </w:rPr>
        <w:t xml:space="preserve">The Company or companies under its control may grant a member of the Executive Management Team post-retirement benefits beyond occupational pensions; </w:t>
      </w:r>
      <w:r>
        <w:rPr>
          <w:rFonts w:ascii="Arial" w:cs="Arial" w:eastAsia="Arial" w:hAnsi="Arial"/>
          <w:sz w:val="18"/>
          <w:szCs w:val="18"/>
          <w:i w:val="1"/>
          <w:iCs w:val="1"/>
          <w:color w:val="auto"/>
        </w:rPr>
        <w:t>provided, however</w:t>
      </w:r>
      <w:r>
        <w:rPr>
          <w:rFonts w:ascii="Arial" w:cs="Arial" w:eastAsia="Arial" w:hAnsi="Arial"/>
          <w:sz w:val="18"/>
          <w:szCs w:val="18"/>
          <w:color w:val="auto"/>
        </w:rPr>
        <w:t>, that any such post-retirement benefits may not exceed 50% of the base salary in the fiscal year immediately preceding the retirement.</w:t>
      </w:r>
    </w:p>
    <w:p>
      <w:pPr>
        <w:sectPr>
          <w:pgSz w:w="11900" w:h="16838" w:orient="portrait"/>
          <w:cols w:equalWidth="0" w:num="3">
            <w:col w:w="4540" w:space="180"/>
            <w:col w:w="840" w:space="142"/>
            <w:col w:w="3578"/>
          </w:cols>
          <w:pgMar w:left="1220" w:top="670" w:right="1399" w:bottom="1440" w:gutter="0" w:footer="0" w:header="0"/>
          <w:type w:val="continuous"/>
        </w:sectPr>
      </w:pPr>
    </w:p>
    <w:bookmarkStart w:id="46" w:name="page47"/>
    <w:bookmarkEnd w:id="46"/>
    <w:p>
      <w:pPr>
        <w:jc w:val="center"/>
        <w:ind w:right="-239"/>
        <w:spacing w:after="0"/>
        <w:rPr>
          <w:sz w:val="20"/>
          <w:szCs w:val="20"/>
          <w:color w:val="auto"/>
        </w:rPr>
      </w:pPr>
      <w:r>
        <w:rPr>
          <w:rFonts w:ascii="Arial" w:cs="Arial" w:eastAsia="Arial" w:hAnsi="Arial"/>
          <w:sz w:val="13"/>
          <w:szCs w:val="13"/>
          <w:color w:val="auto"/>
        </w:rPr>
        <w:t>- 39 -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788035</wp:posOffset>
            </wp:positionH>
            <wp:positionV relativeFrom="paragraph">
              <wp:posOffset>399415</wp:posOffset>
            </wp:positionV>
            <wp:extent cx="518604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86045" cy="8255"/>
                    </a:xfrm>
                    <a:prstGeom prst="rect">
                      <a:avLst/>
                    </a:prstGeom>
                    <a:noFill/>
                  </pic:spPr>
                </pic:pic>
              </a:graphicData>
            </a:graphic>
          </wp:anchor>
        </w:drawing>
      </w:r>
    </w:p>
    <w:p>
      <w:pPr>
        <w:sectPr>
          <w:pgSz w:w="11900" w:h="16838" w:orient="portrait"/>
          <w:cols w:equalWidth="0" w:num="1">
            <w:col w:w="9400"/>
          </w:cols>
          <w:pgMar w:left="1220" w:top="670" w:right="1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40" w:type="dxa"/>
            <w:vAlign w:val="bottom"/>
          </w:tcPr>
          <w:p>
            <w:pPr>
              <w:spacing w:after="0"/>
              <w:rPr>
                <w:sz w:val="17"/>
                <w:szCs w:val="17"/>
                <w:color w:val="auto"/>
              </w:rPr>
            </w:pPr>
          </w:p>
        </w:tc>
        <w:tc>
          <w:tcPr>
            <w:tcW w:w="3540" w:type="dxa"/>
            <w:vAlign w:val="bottom"/>
          </w:tcPr>
          <w:p>
            <w:pPr>
              <w:ind w:left="60"/>
              <w:spacing w:after="0"/>
              <w:rPr>
                <w:sz w:val="20"/>
                <w:szCs w:val="20"/>
                <w:color w:val="auto"/>
              </w:rPr>
            </w:pPr>
            <w:r>
              <w:rPr>
                <w:rFonts w:ascii="Arial" w:cs="Arial" w:eastAsia="Arial" w:hAnsi="Arial"/>
                <w:sz w:val="18"/>
                <w:szCs w:val="18"/>
                <w:b w:val="1"/>
                <w:bCs w:val="1"/>
                <w:color w:val="auto"/>
              </w:rPr>
              <w:t>Abschnitt 4:</w:t>
            </w:r>
          </w:p>
        </w:tc>
      </w:tr>
      <w:tr>
        <w:trPr>
          <w:trHeight w:val="203"/>
        </w:trPr>
        <w:tc>
          <w:tcPr>
            <w:tcW w:w="1240" w:type="dxa"/>
            <w:vAlign w:val="bottom"/>
          </w:tcPr>
          <w:p>
            <w:pPr>
              <w:spacing w:after="0"/>
              <w:rPr>
                <w:sz w:val="17"/>
                <w:szCs w:val="17"/>
                <w:color w:val="auto"/>
              </w:rPr>
            </w:pPr>
          </w:p>
        </w:tc>
        <w:tc>
          <w:tcPr>
            <w:tcW w:w="3540" w:type="dxa"/>
            <w:vAlign w:val="bottom"/>
          </w:tcPr>
          <w:p>
            <w:pPr>
              <w:ind w:left="60"/>
              <w:spacing w:after="0" w:line="202" w:lineRule="exact"/>
              <w:rPr>
                <w:sz w:val="20"/>
                <w:szCs w:val="20"/>
                <w:color w:val="auto"/>
              </w:rPr>
            </w:pPr>
            <w:r>
              <w:rPr>
                <w:rFonts w:ascii="Arial" w:cs="Arial" w:eastAsia="Arial" w:hAnsi="Arial"/>
                <w:sz w:val="18"/>
                <w:szCs w:val="18"/>
                <w:i w:val="1"/>
                <w:iCs w:val="1"/>
                <w:color w:val="auto"/>
              </w:rPr>
              <w:t>Jahresrechnung, Konzernrechnung und</w:t>
            </w:r>
          </w:p>
        </w:tc>
      </w:tr>
      <w:tr>
        <w:trPr>
          <w:trHeight w:val="237"/>
        </w:trPr>
        <w:tc>
          <w:tcPr>
            <w:tcW w:w="1240" w:type="dxa"/>
            <w:vAlign w:val="bottom"/>
          </w:tcPr>
          <w:p>
            <w:pPr>
              <w:spacing w:after="0"/>
              <w:rPr>
                <w:sz w:val="20"/>
                <w:szCs w:val="20"/>
                <w:color w:val="auto"/>
              </w:rPr>
            </w:pPr>
          </w:p>
        </w:tc>
        <w:tc>
          <w:tcPr>
            <w:tcW w:w="3540" w:type="dxa"/>
            <w:vAlign w:val="bottom"/>
          </w:tcPr>
          <w:p>
            <w:pPr>
              <w:ind w:left="60"/>
              <w:spacing w:after="0"/>
              <w:rPr>
                <w:sz w:val="20"/>
                <w:szCs w:val="20"/>
                <w:color w:val="auto"/>
              </w:rPr>
            </w:pPr>
            <w:r>
              <w:rPr>
                <w:rFonts w:ascii="Arial" w:cs="Arial" w:eastAsia="Arial" w:hAnsi="Arial"/>
                <w:sz w:val="18"/>
                <w:szCs w:val="18"/>
                <w:i w:val="1"/>
                <w:iCs w:val="1"/>
                <w:color w:val="auto"/>
              </w:rPr>
              <w:t>Gewinnverteilung</w:t>
            </w:r>
          </w:p>
        </w:tc>
      </w:tr>
      <w:tr>
        <w:trPr>
          <w:trHeight w:val="239"/>
        </w:trPr>
        <w:tc>
          <w:tcPr>
            <w:tcW w:w="1240" w:type="dxa"/>
            <w:vAlign w:val="bottom"/>
          </w:tcPr>
          <w:p>
            <w:pPr>
              <w:spacing w:after="0"/>
              <w:rPr>
                <w:sz w:val="20"/>
                <w:szCs w:val="20"/>
                <w:color w:val="auto"/>
              </w:rPr>
            </w:pPr>
          </w:p>
        </w:tc>
        <w:tc>
          <w:tcPr>
            <w:tcW w:w="3540" w:type="dxa"/>
            <w:vAlign w:val="bottom"/>
            <w:tcBorders>
              <w:bottom w:val="single" w:sz="8" w:color="auto"/>
            </w:tcBorders>
          </w:tcPr>
          <w:p>
            <w:pPr>
              <w:spacing w:after="0"/>
              <w:rPr>
                <w:sz w:val="20"/>
                <w:szCs w:val="20"/>
                <w:color w:val="auto"/>
              </w:rPr>
            </w:pPr>
          </w:p>
        </w:tc>
      </w:tr>
      <w:tr>
        <w:trPr>
          <w:trHeight w:val="275"/>
        </w:trPr>
        <w:tc>
          <w:tcPr>
            <w:tcW w:w="1240" w:type="dxa"/>
            <w:vAlign w:val="bottom"/>
          </w:tcPr>
          <w:p>
            <w:pPr>
              <w:spacing w:after="0"/>
              <w:rPr>
                <w:sz w:val="23"/>
                <w:szCs w:val="23"/>
                <w:color w:val="auto"/>
              </w:rPr>
            </w:pPr>
          </w:p>
        </w:tc>
        <w:tc>
          <w:tcPr>
            <w:tcW w:w="3540" w:type="dxa"/>
            <w:vAlign w:val="bottom"/>
          </w:tcPr>
          <w:p>
            <w:pPr>
              <w:ind w:left="60"/>
              <w:spacing w:after="0"/>
              <w:rPr>
                <w:sz w:val="20"/>
                <w:szCs w:val="20"/>
                <w:color w:val="auto"/>
              </w:rPr>
            </w:pPr>
            <w:r>
              <w:rPr>
                <w:rFonts w:ascii="Arial" w:cs="Arial" w:eastAsia="Arial" w:hAnsi="Arial"/>
                <w:sz w:val="18"/>
                <w:szCs w:val="18"/>
                <w:b w:val="1"/>
                <w:bCs w:val="1"/>
                <w:color w:val="auto"/>
              </w:rPr>
              <w:t>Artikel 30</w:t>
            </w:r>
          </w:p>
        </w:tc>
      </w:tr>
      <w:tr>
        <w:trPr>
          <w:trHeight w:val="374"/>
        </w:trPr>
        <w:tc>
          <w:tcPr>
            <w:tcW w:w="1240" w:type="dxa"/>
            <w:vAlign w:val="bottom"/>
          </w:tcPr>
          <w:p>
            <w:pPr>
              <w:spacing w:after="0"/>
              <w:rPr>
                <w:sz w:val="20"/>
                <w:szCs w:val="20"/>
                <w:color w:val="auto"/>
              </w:rPr>
            </w:pPr>
            <w:r>
              <w:rPr>
                <w:rFonts w:ascii="Arial" w:cs="Arial" w:eastAsia="Arial" w:hAnsi="Arial"/>
                <w:sz w:val="14"/>
                <w:szCs w:val="14"/>
                <w:color w:val="auto"/>
              </w:rPr>
              <w:t>Geschäftsjahr</w:t>
            </w:r>
          </w:p>
        </w:tc>
        <w:tc>
          <w:tcPr>
            <w:tcW w:w="3540" w:type="dxa"/>
            <w:vAlign w:val="bottom"/>
          </w:tcPr>
          <w:p>
            <w:pPr>
              <w:ind w:left="60"/>
              <w:spacing w:after="0"/>
              <w:rPr>
                <w:sz w:val="20"/>
                <w:szCs w:val="20"/>
                <w:color w:val="auto"/>
              </w:rPr>
            </w:pPr>
            <w:r>
              <w:rPr>
                <w:rFonts w:ascii="Arial" w:cs="Arial" w:eastAsia="Arial" w:hAnsi="Arial"/>
                <w:sz w:val="18"/>
                <w:szCs w:val="18"/>
                <w:color w:val="auto"/>
              </w:rPr>
              <w:t>Der Verwaltungsrat legt das Geschäftsjahr</w:t>
            </w:r>
          </w:p>
        </w:tc>
      </w:tr>
      <w:tr>
        <w:trPr>
          <w:trHeight w:val="239"/>
        </w:trPr>
        <w:tc>
          <w:tcPr>
            <w:tcW w:w="1240" w:type="dxa"/>
            <w:vAlign w:val="bottom"/>
          </w:tcPr>
          <w:p>
            <w:pPr>
              <w:spacing w:after="0"/>
              <w:rPr>
                <w:sz w:val="20"/>
                <w:szCs w:val="20"/>
                <w:color w:val="auto"/>
              </w:rPr>
            </w:pPr>
          </w:p>
        </w:tc>
        <w:tc>
          <w:tcPr>
            <w:tcW w:w="3540" w:type="dxa"/>
            <w:vAlign w:val="bottom"/>
          </w:tcPr>
          <w:p>
            <w:pPr>
              <w:ind w:left="60"/>
              <w:spacing w:after="0"/>
              <w:rPr>
                <w:sz w:val="20"/>
                <w:szCs w:val="20"/>
                <w:color w:val="auto"/>
              </w:rPr>
            </w:pPr>
            <w:r>
              <w:rPr>
                <w:rFonts w:ascii="Arial" w:cs="Arial" w:eastAsia="Arial" w:hAnsi="Arial"/>
                <w:sz w:val="18"/>
                <w:szCs w:val="18"/>
                <w:color w:val="auto"/>
              </w:rPr>
              <w:t>fest.</w:t>
            </w:r>
          </w:p>
        </w:tc>
      </w:tr>
      <w:tr>
        <w:trPr>
          <w:trHeight w:val="318"/>
        </w:trPr>
        <w:tc>
          <w:tcPr>
            <w:tcW w:w="1240" w:type="dxa"/>
            <w:vAlign w:val="bottom"/>
          </w:tcPr>
          <w:p>
            <w:pPr>
              <w:spacing w:after="0"/>
              <w:rPr>
                <w:sz w:val="24"/>
                <w:szCs w:val="24"/>
                <w:color w:val="auto"/>
              </w:rPr>
            </w:pPr>
          </w:p>
        </w:tc>
        <w:tc>
          <w:tcPr>
            <w:tcW w:w="3540" w:type="dxa"/>
            <w:vAlign w:val="bottom"/>
          </w:tcPr>
          <w:p>
            <w:pPr>
              <w:ind w:left="60"/>
              <w:spacing w:after="0"/>
              <w:rPr>
                <w:sz w:val="20"/>
                <w:szCs w:val="20"/>
                <w:color w:val="auto"/>
              </w:rPr>
            </w:pPr>
            <w:r>
              <w:rPr>
                <w:rFonts w:ascii="Arial" w:cs="Arial" w:eastAsia="Arial" w:hAnsi="Arial"/>
                <w:sz w:val="18"/>
                <w:szCs w:val="18"/>
                <w:b w:val="1"/>
                <w:bCs w:val="1"/>
                <w:color w:val="auto"/>
              </w:rPr>
              <w:t>Artikel 31</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040" w:type="dxa"/>
            <w:vAlign w:val="bottom"/>
          </w:tcPr>
          <w:p>
            <w:pPr>
              <w:spacing w:after="0"/>
              <w:rPr>
                <w:sz w:val="17"/>
                <w:szCs w:val="17"/>
                <w:color w:val="auto"/>
              </w:rPr>
            </w:pPr>
          </w:p>
        </w:tc>
        <w:tc>
          <w:tcPr>
            <w:tcW w:w="3520" w:type="dxa"/>
            <w:vAlign w:val="bottom"/>
          </w:tcPr>
          <w:p>
            <w:pPr>
              <w:ind w:left="60"/>
              <w:spacing w:after="0"/>
              <w:rPr>
                <w:sz w:val="20"/>
                <w:szCs w:val="20"/>
                <w:color w:val="auto"/>
              </w:rPr>
            </w:pPr>
            <w:r>
              <w:rPr>
                <w:rFonts w:ascii="Arial" w:cs="Arial" w:eastAsia="Arial" w:hAnsi="Arial"/>
                <w:sz w:val="18"/>
                <w:szCs w:val="18"/>
                <w:b w:val="1"/>
                <w:bCs w:val="1"/>
                <w:color w:val="auto"/>
              </w:rPr>
              <w:t>Section 4:</w:t>
            </w:r>
          </w:p>
        </w:tc>
      </w:tr>
      <w:tr>
        <w:trPr>
          <w:trHeight w:val="203"/>
        </w:trPr>
        <w:tc>
          <w:tcPr>
            <w:tcW w:w="1040" w:type="dxa"/>
            <w:vAlign w:val="bottom"/>
          </w:tcPr>
          <w:p>
            <w:pPr>
              <w:spacing w:after="0"/>
              <w:rPr>
                <w:sz w:val="17"/>
                <w:szCs w:val="17"/>
                <w:color w:val="auto"/>
              </w:rPr>
            </w:pPr>
          </w:p>
        </w:tc>
        <w:tc>
          <w:tcPr>
            <w:tcW w:w="3520" w:type="dxa"/>
            <w:vAlign w:val="bottom"/>
          </w:tcPr>
          <w:p>
            <w:pPr>
              <w:ind w:left="60"/>
              <w:spacing w:after="0" w:line="202" w:lineRule="exact"/>
              <w:rPr>
                <w:sz w:val="20"/>
                <w:szCs w:val="20"/>
                <w:color w:val="auto"/>
              </w:rPr>
            </w:pPr>
            <w:r>
              <w:rPr>
                <w:rFonts w:ascii="Arial" w:cs="Arial" w:eastAsia="Arial" w:hAnsi="Arial"/>
                <w:sz w:val="18"/>
                <w:szCs w:val="18"/>
                <w:i w:val="1"/>
                <w:iCs w:val="1"/>
                <w:color w:val="auto"/>
              </w:rPr>
              <w:t>Annual Statutory Financial Statements,</w:t>
            </w:r>
          </w:p>
        </w:tc>
      </w:tr>
      <w:tr>
        <w:trPr>
          <w:trHeight w:val="203"/>
        </w:trPr>
        <w:tc>
          <w:tcPr>
            <w:tcW w:w="1040" w:type="dxa"/>
            <w:vAlign w:val="bottom"/>
          </w:tcPr>
          <w:p>
            <w:pPr>
              <w:spacing w:after="0"/>
              <w:rPr>
                <w:sz w:val="17"/>
                <w:szCs w:val="17"/>
                <w:color w:val="auto"/>
              </w:rPr>
            </w:pPr>
          </w:p>
        </w:tc>
        <w:tc>
          <w:tcPr>
            <w:tcW w:w="3520" w:type="dxa"/>
            <w:vAlign w:val="bottom"/>
          </w:tcPr>
          <w:p>
            <w:pPr>
              <w:ind w:left="60"/>
              <w:spacing w:after="0" w:line="202" w:lineRule="exact"/>
              <w:rPr>
                <w:sz w:val="20"/>
                <w:szCs w:val="20"/>
                <w:color w:val="auto"/>
              </w:rPr>
            </w:pPr>
            <w:r>
              <w:rPr>
                <w:rFonts w:ascii="Arial" w:cs="Arial" w:eastAsia="Arial" w:hAnsi="Arial"/>
                <w:sz w:val="18"/>
                <w:szCs w:val="18"/>
                <w:i w:val="1"/>
                <w:iCs w:val="1"/>
                <w:color w:val="auto"/>
              </w:rPr>
              <w:t>Consolidated Financial Statements and</w:t>
            </w:r>
          </w:p>
        </w:tc>
      </w:tr>
      <w:tr>
        <w:trPr>
          <w:trHeight w:val="237"/>
        </w:trPr>
        <w:tc>
          <w:tcPr>
            <w:tcW w:w="1040" w:type="dxa"/>
            <w:vAlign w:val="bottom"/>
          </w:tcPr>
          <w:p>
            <w:pPr>
              <w:spacing w:after="0"/>
              <w:rPr>
                <w:sz w:val="20"/>
                <w:szCs w:val="20"/>
                <w:color w:val="auto"/>
              </w:rPr>
            </w:pPr>
          </w:p>
        </w:tc>
        <w:tc>
          <w:tcPr>
            <w:tcW w:w="3520" w:type="dxa"/>
            <w:vAlign w:val="bottom"/>
          </w:tcPr>
          <w:p>
            <w:pPr>
              <w:ind w:left="60"/>
              <w:spacing w:after="0"/>
              <w:rPr>
                <w:sz w:val="20"/>
                <w:szCs w:val="20"/>
                <w:color w:val="auto"/>
              </w:rPr>
            </w:pPr>
            <w:r>
              <w:rPr>
                <w:rFonts w:ascii="Arial" w:cs="Arial" w:eastAsia="Arial" w:hAnsi="Arial"/>
                <w:sz w:val="18"/>
                <w:szCs w:val="18"/>
                <w:i w:val="1"/>
                <w:iCs w:val="1"/>
                <w:color w:val="auto"/>
              </w:rPr>
              <w:t>Profit Allocation</w:t>
            </w:r>
          </w:p>
        </w:tc>
      </w:tr>
      <w:tr>
        <w:trPr>
          <w:trHeight w:val="37"/>
        </w:trPr>
        <w:tc>
          <w:tcPr>
            <w:tcW w:w="1040" w:type="dxa"/>
            <w:vAlign w:val="bottom"/>
          </w:tcPr>
          <w:p>
            <w:pPr>
              <w:spacing w:after="0"/>
              <w:rPr>
                <w:sz w:val="3"/>
                <w:szCs w:val="3"/>
                <w:color w:val="auto"/>
              </w:rPr>
            </w:pPr>
          </w:p>
        </w:tc>
        <w:tc>
          <w:tcPr>
            <w:tcW w:w="3520" w:type="dxa"/>
            <w:vAlign w:val="bottom"/>
            <w:tcBorders>
              <w:bottom w:val="single" w:sz="8" w:color="auto"/>
            </w:tcBorders>
          </w:tcPr>
          <w:p>
            <w:pPr>
              <w:spacing w:after="0"/>
              <w:rPr>
                <w:sz w:val="3"/>
                <w:szCs w:val="3"/>
                <w:color w:val="auto"/>
              </w:rPr>
            </w:pPr>
          </w:p>
        </w:tc>
      </w:tr>
      <w:tr>
        <w:trPr>
          <w:trHeight w:val="275"/>
        </w:trPr>
        <w:tc>
          <w:tcPr>
            <w:tcW w:w="1040" w:type="dxa"/>
            <w:vAlign w:val="bottom"/>
          </w:tcPr>
          <w:p>
            <w:pPr>
              <w:spacing w:after="0"/>
              <w:rPr>
                <w:sz w:val="23"/>
                <w:szCs w:val="23"/>
                <w:color w:val="auto"/>
              </w:rPr>
            </w:pPr>
          </w:p>
        </w:tc>
        <w:tc>
          <w:tcPr>
            <w:tcW w:w="3520" w:type="dxa"/>
            <w:vAlign w:val="bottom"/>
          </w:tcPr>
          <w:p>
            <w:pPr>
              <w:ind w:left="60"/>
              <w:spacing w:after="0"/>
              <w:rPr>
                <w:sz w:val="20"/>
                <w:szCs w:val="20"/>
                <w:color w:val="auto"/>
              </w:rPr>
            </w:pPr>
            <w:r>
              <w:rPr>
                <w:rFonts w:ascii="Arial" w:cs="Arial" w:eastAsia="Arial" w:hAnsi="Arial"/>
                <w:sz w:val="18"/>
                <w:szCs w:val="18"/>
                <w:b w:val="1"/>
                <w:bCs w:val="1"/>
                <w:color w:val="auto"/>
              </w:rPr>
              <w:t>Article 30</w:t>
            </w:r>
          </w:p>
        </w:tc>
      </w:tr>
      <w:tr>
        <w:trPr>
          <w:trHeight w:val="374"/>
        </w:trPr>
        <w:tc>
          <w:tcPr>
            <w:tcW w:w="1040" w:type="dxa"/>
            <w:vAlign w:val="bottom"/>
          </w:tcPr>
          <w:p>
            <w:pPr>
              <w:spacing w:after="0"/>
              <w:rPr>
                <w:sz w:val="20"/>
                <w:szCs w:val="20"/>
                <w:color w:val="auto"/>
              </w:rPr>
            </w:pPr>
            <w:r>
              <w:rPr>
                <w:rFonts w:ascii="Arial" w:cs="Arial" w:eastAsia="Arial" w:hAnsi="Arial"/>
                <w:sz w:val="14"/>
                <w:szCs w:val="14"/>
                <w:color w:val="auto"/>
              </w:rPr>
              <w:t>Fiscal Year</w:t>
            </w:r>
          </w:p>
        </w:tc>
        <w:tc>
          <w:tcPr>
            <w:tcW w:w="3520" w:type="dxa"/>
            <w:vAlign w:val="bottom"/>
          </w:tcPr>
          <w:p>
            <w:pPr>
              <w:ind w:left="60"/>
              <w:spacing w:after="0"/>
              <w:rPr>
                <w:sz w:val="20"/>
                <w:szCs w:val="20"/>
                <w:color w:val="auto"/>
              </w:rPr>
            </w:pPr>
            <w:r>
              <w:rPr>
                <w:rFonts w:ascii="Arial" w:cs="Arial" w:eastAsia="Arial" w:hAnsi="Arial"/>
                <w:sz w:val="18"/>
                <w:szCs w:val="18"/>
                <w:color w:val="auto"/>
              </w:rPr>
              <w:t>The Board of Directors determines the</w:t>
            </w:r>
          </w:p>
        </w:tc>
      </w:tr>
      <w:tr>
        <w:trPr>
          <w:trHeight w:val="239"/>
        </w:trPr>
        <w:tc>
          <w:tcPr>
            <w:tcW w:w="1040" w:type="dxa"/>
            <w:vAlign w:val="bottom"/>
          </w:tcPr>
          <w:p>
            <w:pPr>
              <w:spacing w:after="0"/>
              <w:rPr>
                <w:sz w:val="20"/>
                <w:szCs w:val="20"/>
                <w:color w:val="auto"/>
              </w:rPr>
            </w:pPr>
          </w:p>
        </w:tc>
        <w:tc>
          <w:tcPr>
            <w:tcW w:w="3520" w:type="dxa"/>
            <w:vAlign w:val="bottom"/>
          </w:tcPr>
          <w:p>
            <w:pPr>
              <w:ind w:left="60"/>
              <w:spacing w:after="0"/>
              <w:rPr>
                <w:sz w:val="20"/>
                <w:szCs w:val="20"/>
                <w:color w:val="auto"/>
              </w:rPr>
            </w:pPr>
            <w:r>
              <w:rPr>
                <w:rFonts w:ascii="Arial" w:cs="Arial" w:eastAsia="Arial" w:hAnsi="Arial"/>
                <w:sz w:val="18"/>
                <w:szCs w:val="18"/>
                <w:color w:val="auto"/>
              </w:rPr>
              <w:t>fiscal year.</w:t>
            </w:r>
          </w:p>
        </w:tc>
      </w:tr>
      <w:tr>
        <w:trPr>
          <w:trHeight w:val="318"/>
        </w:trPr>
        <w:tc>
          <w:tcPr>
            <w:tcW w:w="1040" w:type="dxa"/>
            <w:vAlign w:val="bottom"/>
          </w:tcPr>
          <w:p>
            <w:pPr>
              <w:spacing w:after="0"/>
              <w:rPr>
                <w:sz w:val="24"/>
                <w:szCs w:val="24"/>
                <w:color w:val="auto"/>
              </w:rPr>
            </w:pPr>
          </w:p>
        </w:tc>
        <w:tc>
          <w:tcPr>
            <w:tcW w:w="3520" w:type="dxa"/>
            <w:vAlign w:val="bottom"/>
          </w:tcPr>
          <w:p>
            <w:pPr>
              <w:ind w:left="60"/>
              <w:spacing w:after="0"/>
              <w:rPr>
                <w:sz w:val="20"/>
                <w:szCs w:val="20"/>
                <w:color w:val="auto"/>
              </w:rPr>
            </w:pPr>
            <w:r>
              <w:rPr>
                <w:rFonts w:ascii="Arial" w:cs="Arial" w:eastAsia="Arial" w:hAnsi="Arial"/>
                <w:sz w:val="18"/>
                <w:szCs w:val="18"/>
                <w:b w:val="1"/>
                <w:bCs w:val="1"/>
                <w:color w:val="auto"/>
              </w:rPr>
              <w:t>Article 31</w:t>
            </w:r>
          </w:p>
        </w:tc>
      </w:tr>
    </w:tbl>
    <w:p>
      <w:pPr>
        <w:spacing w:after="0" w:line="159" w:lineRule="exact"/>
        <w:rPr>
          <w:sz w:val="20"/>
          <w:szCs w:val="20"/>
          <w:color w:val="auto"/>
        </w:rPr>
      </w:pPr>
    </w:p>
    <w:p>
      <w:pPr>
        <w:sectPr>
          <w:pgSz w:w="11900" w:h="16838" w:orient="portrait"/>
          <w:cols w:equalWidth="0" w:num="2">
            <w:col w:w="4780" w:space="60"/>
            <w:col w:w="4560"/>
          </w:cols>
          <w:pgMar w:left="1220" w:top="670" w:right="1279" w:bottom="1440" w:gutter="0" w:footer="0" w:header="0"/>
          <w:type w:val="continuous"/>
        </w:sectPr>
      </w:pPr>
    </w:p>
    <w:p>
      <w:pPr>
        <w:spacing w:after="0" w:line="36"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Verteilung des Bilanzgewinns, Reserven</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ind w:left="215" w:right="40" w:hanging="215"/>
        <w:spacing w:after="0" w:line="216" w:lineRule="auto"/>
        <w:tabs>
          <w:tab w:leader="none" w:pos="215" w:val="left"/>
        </w:tabs>
        <w:numPr>
          <w:ilvl w:val="0"/>
          <w:numId w:val="184"/>
        </w:numPr>
        <w:rPr>
          <w:rFonts w:ascii="Arial" w:cs="Arial" w:eastAsia="Arial" w:hAnsi="Arial"/>
          <w:sz w:val="29"/>
          <w:szCs w:val="29"/>
          <w:color w:val="auto"/>
          <w:vertAlign w:val="superscript"/>
        </w:rPr>
      </w:pPr>
      <w:r>
        <w:rPr>
          <w:rFonts w:ascii="Arial" w:cs="Arial" w:eastAsia="Arial" w:hAnsi="Arial"/>
          <w:sz w:val="18"/>
          <w:szCs w:val="18"/>
          <w:color w:val="auto"/>
        </w:rPr>
        <w:t>Über den Bilanzgewinn verfügt die Generalversammlung im Rahmen der anwendbaren gesetzlichen Vorschriften. Der Verwaltungsrat unterbreitet ihr seine Vorschläge.</w:t>
      </w:r>
    </w:p>
    <w:p>
      <w:pPr>
        <w:spacing w:after="0" w:line="200" w:lineRule="exact"/>
        <w:rPr>
          <w:sz w:val="20"/>
          <w:szCs w:val="20"/>
          <w:color w:val="auto"/>
        </w:rPr>
      </w:pPr>
    </w:p>
    <w:p>
      <w:pPr>
        <w:spacing w:after="0" w:line="280" w:lineRule="exact"/>
        <w:rPr>
          <w:sz w:val="20"/>
          <w:szCs w:val="20"/>
          <w:color w:val="auto"/>
        </w:rPr>
      </w:pPr>
    </w:p>
    <w:p>
      <w:pPr>
        <w:ind w:left="215" w:hanging="215"/>
        <w:spacing w:after="0" w:line="195" w:lineRule="auto"/>
        <w:tabs>
          <w:tab w:leader="none" w:pos="215" w:val="left"/>
        </w:tabs>
        <w:numPr>
          <w:ilvl w:val="0"/>
          <w:numId w:val="185"/>
        </w:numPr>
        <w:rPr>
          <w:rFonts w:ascii="Arial" w:cs="Arial" w:eastAsia="Arial" w:hAnsi="Arial"/>
          <w:sz w:val="29"/>
          <w:szCs w:val="29"/>
          <w:color w:val="auto"/>
          <w:vertAlign w:val="superscript"/>
        </w:rPr>
      </w:pPr>
      <w:r>
        <w:rPr>
          <w:rFonts w:ascii="Arial" w:cs="Arial" w:eastAsia="Arial" w:hAnsi="Arial"/>
          <w:sz w:val="18"/>
          <w:szCs w:val="18"/>
          <w:color w:val="auto"/>
        </w:rPr>
        <w:t>Neben der gesetzlichen Reserve können weitere Reserven geschaffen werden.</w:t>
      </w:r>
    </w:p>
    <w:p>
      <w:pPr>
        <w:spacing w:after="0" w:line="74" w:lineRule="exact"/>
        <w:rPr>
          <w:sz w:val="20"/>
          <w:szCs w:val="20"/>
          <w:color w:val="auto"/>
        </w:rPr>
      </w:pPr>
    </w:p>
    <w:p>
      <w:pPr>
        <w:ind w:left="215" w:right="60" w:hanging="215"/>
        <w:spacing w:after="0" w:line="219" w:lineRule="auto"/>
        <w:tabs>
          <w:tab w:leader="none" w:pos="215" w:val="left"/>
        </w:tabs>
        <w:numPr>
          <w:ilvl w:val="0"/>
          <w:numId w:val="186"/>
        </w:numPr>
        <w:rPr>
          <w:rFonts w:ascii="Arial" w:cs="Arial" w:eastAsia="Arial" w:hAnsi="Arial"/>
          <w:sz w:val="29"/>
          <w:szCs w:val="29"/>
          <w:color w:val="auto"/>
          <w:vertAlign w:val="superscript"/>
        </w:rPr>
      </w:pPr>
      <w:r>
        <w:rPr>
          <w:rFonts w:ascii="Arial" w:cs="Arial" w:eastAsia="Arial" w:hAnsi="Arial"/>
          <w:sz w:val="18"/>
          <w:szCs w:val="18"/>
          <w:color w:val="auto"/>
        </w:rPr>
        <w:t>Dividenden, welche nicht innerhalb von fünf Jahren nach ihrem Auszahlungsdatum bezogen werden, fallen an die Gesellschaft und werden in die allgemeinen gesetzlichen Reserven verbucht.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264795</wp:posOffset>
            </wp:positionV>
            <wp:extent cx="224599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020" w:type="dxa"/>
            <w:vAlign w:val="bottom"/>
          </w:tcPr>
          <w:p>
            <w:pPr>
              <w:spacing w:after="0"/>
              <w:rPr>
                <w:sz w:val="20"/>
                <w:szCs w:val="20"/>
                <w:color w:val="auto"/>
              </w:rPr>
            </w:pPr>
            <w:r>
              <w:rPr>
                <w:rFonts w:ascii="Arial" w:cs="Arial" w:eastAsia="Arial" w:hAnsi="Arial"/>
                <w:sz w:val="14"/>
                <w:szCs w:val="14"/>
                <w:color w:val="auto"/>
              </w:rPr>
              <w:t>Allocation   1</w:t>
            </w:r>
          </w:p>
        </w:tc>
        <w:tc>
          <w:tcPr>
            <w:tcW w:w="3400" w:type="dxa"/>
            <w:vAlign w:val="bottom"/>
          </w:tcPr>
          <w:p>
            <w:pPr>
              <w:ind w:left="80"/>
              <w:spacing w:after="0"/>
              <w:rPr>
                <w:sz w:val="20"/>
                <w:szCs w:val="20"/>
                <w:color w:val="auto"/>
              </w:rPr>
            </w:pPr>
            <w:r>
              <w:rPr>
                <w:rFonts w:ascii="Arial" w:cs="Arial" w:eastAsia="Arial" w:hAnsi="Arial"/>
                <w:sz w:val="18"/>
                <w:szCs w:val="18"/>
                <w:color w:val="auto"/>
              </w:rPr>
              <w:t>The profit shown on the Annual Statutory</w:t>
            </w:r>
          </w:p>
        </w:tc>
        <w:tc>
          <w:tcPr>
            <w:tcW w:w="0" w:type="dxa"/>
            <w:vAlign w:val="bottom"/>
          </w:tcPr>
          <w:p>
            <w:pPr>
              <w:spacing w:after="0"/>
              <w:rPr>
                <w:sz w:val="1"/>
                <w:szCs w:val="1"/>
                <w:color w:val="auto"/>
              </w:rPr>
            </w:pPr>
          </w:p>
        </w:tc>
      </w:tr>
      <w:tr>
        <w:trPr>
          <w:trHeight w:val="203"/>
        </w:trPr>
        <w:tc>
          <w:tcPr>
            <w:tcW w:w="1020" w:type="dxa"/>
            <w:vAlign w:val="bottom"/>
          </w:tcPr>
          <w:p>
            <w:pPr>
              <w:spacing w:after="0"/>
              <w:rPr>
                <w:sz w:val="20"/>
                <w:szCs w:val="20"/>
                <w:color w:val="auto"/>
              </w:rPr>
            </w:pPr>
            <w:r>
              <w:rPr>
                <w:rFonts w:ascii="Arial" w:cs="Arial" w:eastAsia="Arial" w:hAnsi="Arial"/>
                <w:sz w:val="14"/>
                <w:szCs w:val="14"/>
                <w:color w:val="auto"/>
              </w:rPr>
              <w:t>of Profit</w:t>
            </w:r>
          </w:p>
        </w:tc>
        <w:tc>
          <w:tcPr>
            <w:tcW w:w="3400" w:type="dxa"/>
            <w:vAlign w:val="bottom"/>
          </w:tcPr>
          <w:p>
            <w:pPr>
              <w:ind w:left="80"/>
              <w:spacing w:after="0" w:line="202" w:lineRule="exact"/>
              <w:rPr>
                <w:sz w:val="20"/>
                <w:szCs w:val="20"/>
                <w:color w:val="auto"/>
              </w:rPr>
            </w:pPr>
            <w:r>
              <w:rPr>
                <w:rFonts w:ascii="Arial" w:cs="Arial" w:eastAsia="Arial" w:hAnsi="Arial"/>
                <w:sz w:val="18"/>
                <w:szCs w:val="18"/>
                <w:color w:val="auto"/>
              </w:rPr>
              <w:t>Balance Sheet shall be allocated by the</w:t>
            </w:r>
          </w:p>
        </w:tc>
        <w:tc>
          <w:tcPr>
            <w:tcW w:w="0" w:type="dxa"/>
            <w:vAlign w:val="bottom"/>
          </w:tcPr>
          <w:p>
            <w:pPr>
              <w:spacing w:after="0"/>
              <w:rPr>
                <w:sz w:val="1"/>
                <w:szCs w:val="1"/>
                <w:color w:val="auto"/>
              </w:rPr>
            </w:pPr>
          </w:p>
        </w:tc>
      </w:tr>
      <w:tr>
        <w:trPr>
          <w:trHeight w:val="112"/>
        </w:trPr>
        <w:tc>
          <w:tcPr>
            <w:tcW w:w="1020" w:type="dxa"/>
            <w:vAlign w:val="bottom"/>
          </w:tcPr>
          <w:p>
            <w:pPr>
              <w:spacing w:after="0" w:line="113" w:lineRule="exact"/>
              <w:rPr>
                <w:sz w:val="20"/>
                <w:szCs w:val="20"/>
                <w:color w:val="auto"/>
              </w:rPr>
            </w:pPr>
            <w:r>
              <w:rPr>
                <w:rFonts w:ascii="Arial" w:cs="Arial" w:eastAsia="Arial" w:hAnsi="Arial"/>
                <w:sz w:val="13"/>
                <w:szCs w:val="13"/>
                <w:color w:val="auto"/>
              </w:rPr>
              <w:t>Shown on</w:t>
            </w:r>
          </w:p>
        </w:tc>
        <w:tc>
          <w:tcPr>
            <w:tcW w:w="3400" w:type="dxa"/>
            <w:vAlign w:val="bottom"/>
            <w:vMerge w:val="restart"/>
          </w:tcPr>
          <w:p>
            <w:pPr>
              <w:ind w:left="80"/>
              <w:spacing w:after="0"/>
              <w:rPr>
                <w:sz w:val="20"/>
                <w:szCs w:val="20"/>
                <w:color w:val="auto"/>
              </w:rPr>
            </w:pPr>
            <w:r>
              <w:rPr>
                <w:rFonts w:ascii="Arial" w:cs="Arial" w:eastAsia="Arial" w:hAnsi="Arial"/>
                <w:sz w:val="18"/>
                <w:szCs w:val="18"/>
                <w:color w:val="auto"/>
              </w:rPr>
              <w:t>General Meeting of Shareholders in</w:t>
            </w:r>
          </w:p>
        </w:tc>
        <w:tc>
          <w:tcPr>
            <w:tcW w:w="0" w:type="dxa"/>
            <w:vAlign w:val="bottom"/>
          </w:tcPr>
          <w:p>
            <w:pPr>
              <w:spacing w:after="0"/>
              <w:rPr>
                <w:sz w:val="1"/>
                <w:szCs w:val="1"/>
                <w:color w:val="auto"/>
              </w:rPr>
            </w:pPr>
          </w:p>
        </w:tc>
      </w:tr>
      <w:tr>
        <w:trPr>
          <w:trHeight w:val="130"/>
        </w:trPr>
        <w:tc>
          <w:tcPr>
            <w:tcW w:w="1020" w:type="dxa"/>
            <w:vAlign w:val="bottom"/>
          </w:tcPr>
          <w:p>
            <w:pPr>
              <w:spacing w:after="0" w:line="130" w:lineRule="exact"/>
              <w:rPr>
                <w:sz w:val="20"/>
                <w:szCs w:val="20"/>
                <w:color w:val="auto"/>
              </w:rPr>
            </w:pPr>
            <w:r>
              <w:rPr>
                <w:rFonts w:ascii="Arial" w:cs="Arial" w:eastAsia="Arial" w:hAnsi="Arial"/>
                <w:sz w:val="14"/>
                <w:szCs w:val="14"/>
                <w:color w:val="auto"/>
              </w:rPr>
              <w:t>the Annual</w:t>
            </w:r>
          </w:p>
        </w:tc>
        <w:tc>
          <w:tcPr>
            <w:tcW w:w="34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1020" w:type="dxa"/>
            <w:vAlign w:val="bottom"/>
          </w:tcPr>
          <w:p>
            <w:pPr>
              <w:spacing w:after="0"/>
              <w:rPr>
                <w:sz w:val="20"/>
                <w:szCs w:val="20"/>
                <w:color w:val="auto"/>
              </w:rPr>
            </w:pPr>
            <w:r>
              <w:rPr>
                <w:rFonts w:ascii="Arial" w:cs="Arial" w:eastAsia="Arial" w:hAnsi="Arial"/>
                <w:sz w:val="14"/>
                <w:szCs w:val="14"/>
                <w:color w:val="auto"/>
              </w:rPr>
              <w:t>Statutory</w:t>
            </w:r>
          </w:p>
        </w:tc>
        <w:tc>
          <w:tcPr>
            <w:tcW w:w="3400" w:type="dxa"/>
            <w:vAlign w:val="bottom"/>
          </w:tcPr>
          <w:p>
            <w:pPr>
              <w:ind w:left="80"/>
              <w:spacing w:after="0" w:line="184" w:lineRule="exact"/>
              <w:rPr>
                <w:sz w:val="20"/>
                <w:szCs w:val="20"/>
                <w:color w:val="auto"/>
              </w:rPr>
            </w:pPr>
            <w:r>
              <w:rPr>
                <w:rFonts w:ascii="Arial" w:cs="Arial" w:eastAsia="Arial" w:hAnsi="Arial"/>
                <w:sz w:val="18"/>
                <w:szCs w:val="18"/>
                <w:color w:val="auto"/>
              </w:rPr>
              <w:t>accordance with applicable law. The</w:t>
            </w:r>
          </w:p>
        </w:tc>
        <w:tc>
          <w:tcPr>
            <w:tcW w:w="0" w:type="dxa"/>
            <w:vAlign w:val="bottom"/>
          </w:tcPr>
          <w:p>
            <w:pPr>
              <w:spacing w:after="0"/>
              <w:rPr>
                <w:sz w:val="1"/>
                <w:szCs w:val="1"/>
                <w:color w:val="auto"/>
              </w:rPr>
            </w:pPr>
          </w:p>
        </w:tc>
      </w:tr>
      <w:tr>
        <w:trPr>
          <w:trHeight w:val="181"/>
        </w:trPr>
        <w:tc>
          <w:tcPr>
            <w:tcW w:w="1020" w:type="dxa"/>
            <w:vAlign w:val="bottom"/>
          </w:tcPr>
          <w:p>
            <w:pPr>
              <w:spacing w:after="0"/>
              <w:rPr>
                <w:sz w:val="20"/>
                <w:szCs w:val="20"/>
                <w:color w:val="auto"/>
              </w:rPr>
            </w:pPr>
            <w:r>
              <w:rPr>
                <w:rFonts w:ascii="Arial" w:cs="Arial" w:eastAsia="Arial" w:hAnsi="Arial"/>
                <w:sz w:val="14"/>
                <w:szCs w:val="14"/>
                <w:color w:val="auto"/>
              </w:rPr>
              <w:t>Balance</w:t>
            </w:r>
          </w:p>
        </w:tc>
        <w:tc>
          <w:tcPr>
            <w:tcW w:w="3400" w:type="dxa"/>
            <w:vAlign w:val="bottom"/>
          </w:tcPr>
          <w:p>
            <w:pPr>
              <w:ind w:left="80"/>
              <w:spacing w:after="0" w:line="181" w:lineRule="exact"/>
              <w:rPr>
                <w:sz w:val="20"/>
                <w:szCs w:val="20"/>
                <w:color w:val="auto"/>
              </w:rPr>
            </w:pPr>
            <w:r>
              <w:rPr>
                <w:rFonts w:ascii="Arial" w:cs="Arial" w:eastAsia="Arial" w:hAnsi="Arial"/>
                <w:sz w:val="18"/>
                <w:szCs w:val="18"/>
                <w:color w:val="auto"/>
              </w:rPr>
              <w:t>Board of Directors shall submit its</w:t>
            </w:r>
          </w:p>
        </w:tc>
        <w:tc>
          <w:tcPr>
            <w:tcW w:w="0" w:type="dxa"/>
            <w:vAlign w:val="bottom"/>
          </w:tcPr>
          <w:p>
            <w:pPr>
              <w:spacing w:after="0"/>
              <w:rPr>
                <w:sz w:val="1"/>
                <w:szCs w:val="1"/>
                <w:color w:val="auto"/>
              </w:rPr>
            </w:pPr>
          </w:p>
        </w:tc>
      </w:tr>
      <w:tr>
        <w:trPr>
          <w:trHeight w:val="203"/>
        </w:trPr>
        <w:tc>
          <w:tcPr>
            <w:tcW w:w="1020" w:type="dxa"/>
            <w:vAlign w:val="bottom"/>
          </w:tcPr>
          <w:p>
            <w:pPr>
              <w:spacing w:after="0"/>
              <w:rPr>
                <w:sz w:val="20"/>
                <w:szCs w:val="20"/>
                <w:color w:val="auto"/>
              </w:rPr>
            </w:pPr>
            <w:r>
              <w:rPr>
                <w:rFonts w:ascii="Arial" w:cs="Arial" w:eastAsia="Arial" w:hAnsi="Arial"/>
                <w:sz w:val="14"/>
                <w:szCs w:val="14"/>
                <w:color w:val="auto"/>
              </w:rPr>
              <w:t>Sheet,</w:t>
            </w:r>
          </w:p>
        </w:tc>
        <w:tc>
          <w:tcPr>
            <w:tcW w:w="3400" w:type="dxa"/>
            <w:vAlign w:val="bottom"/>
          </w:tcPr>
          <w:p>
            <w:pPr>
              <w:ind w:left="80"/>
              <w:spacing w:after="0" w:line="202" w:lineRule="exact"/>
              <w:rPr>
                <w:sz w:val="20"/>
                <w:szCs w:val="20"/>
                <w:color w:val="auto"/>
              </w:rPr>
            </w:pPr>
            <w:r>
              <w:rPr>
                <w:rFonts w:ascii="Arial" w:cs="Arial" w:eastAsia="Arial" w:hAnsi="Arial"/>
                <w:sz w:val="18"/>
                <w:szCs w:val="18"/>
                <w:color w:val="auto"/>
              </w:rPr>
              <w:t>proposals to the General Meeting of</w:t>
            </w:r>
          </w:p>
        </w:tc>
        <w:tc>
          <w:tcPr>
            <w:tcW w:w="0" w:type="dxa"/>
            <w:vAlign w:val="bottom"/>
          </w:tcPr>
          <w:p>
            <w:pPr>
              <w:spacing w:after="0"/>
              <w:rPr>
                <w:sz w:val="1"/>
                <w:szCs w:val="1"/>
                <w:color w:val="auto"/>
              </w:rPr>
            </w:pPr>
          </w:p>
        </w:tc>
      </w:tr>
      <w:tr>
        <w:trPr>
          <w:trHeight w:val="190"/>
        </w:trPr>
        <w:tc>
          <w:tcPr>
            <w:tcW w:w="1020" w:type="dxa"/>
            <w:vAlign w:val="bottom"/>
          </w:tcPr>
          <w:p>
            <w:pPr>
              <w:spacing w:after="0"/>
              <w:rPr>
                <w:sz w:val="20"/>
                <w:szCs w:val="20"/>
                <w:color w:val="auto"/>
              </w:rPr>
            </w:pPr>
            <w:r>
              <w:rPr>
                <w:rFonts w:ascii="Arial" w:cs="Arial" w:eastAsia="Arial" w:hAnsi="Arial"/>
                <w:sz w:val="14"/>
                <w:szCs w:val="14"/>
                <w:color w:val="auto"/>
              </w:rPr>
              <w:t>Reserves</w:t>
            </w:r>
          </w:p>
        </w:tc>
        <w:tc>
          <w:tcPr>
            <w:tcW w:w="3400" w:type="dxa"/>
            <w:vAlign w:val="bottom"/>
            <w:vMerge w:val="restart"/>
          </w:tcPr>
          <w:p>
            <w:pPr>
              <w:ind w:left="80"/>
              <w:spacing w:after="0"/>
              <w:rPr>
                <w:sz w:val="20"/>
                <w:szCs w:val="20"/>
                <w:color w:val="auto"/>
              </w:rPr>
            </w:pPr>
            <w:r>
              <w:rPr>
                <w:rFonts w:ascii="Arial" w:cs="Arial" w:eastAsia="Arial" w:hAnsi="Arial"/>
                <w:sz w:val="18"/>
                <w:szCs w:val="18"/>
                <w:color w:val="auto"/>
              </w:rPr>
              <w:t>Shareholders.</w:t>
            </w:r>
          </w:p>
        </w:tc>
        <w:tc>
          <w:tcPr>
            <w:tcW w:w="0" w:type="dxa"/>
            <w:vAlign w:val="bottom"/>
          </w:tcPr>
          <w:p>
            <w:pPr>
              <w:spacing w:after="0"/>
              <w:rPr>
                <w:sz w:val="1"/>
                <w:szCs w:val="1"/>
                <w:color w:val="auto"/>
              </w:rPr>
            </w:pPr>
          </w:p>
        </w:tc>
      </w:tr>
      <w:tr>
        <w:trPr>
          <w:trHeight w:val="70"/>
        </w:trPr>
        <w:tc>
          <w:tcPr>
            <w:tcW w:w="1020" w:type="dxa"/>
            <w:vAlign w:val="bottom"/>
          </w:tcPr>
          <w:p>
            <w:pPr>
              <w:spacing w:after="0"/>
              <w:rPr>
                <w:sz w:val="6"/>
                <w:szCs w:val="6"/>
                <w:color w:val="auto"/>
              </w:rPr>
            </w:pPr>
          </w:p>
        </w:tc>
        <w:tc>
          <w:tcPr>
            <w:tcW w:w="3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4"/>
        </w:trPr>
        <w:tc>
          <w:tcPr>
            <w:tcW w:w="1020" w:type="dxa"/>
            <w:vAlign w:val="bottom"/>
          </w:tcPr>
          <w:p>
            <w:pPr>
              <w:ind w:left="880"/>
              <w:spacing w:after="0"/>
              <w:rPr>
                <w:sz w:val="20"/>
                <w:szCs w:val="20"/>
                <w:color w:val="auto"/>
              </w:rPr>
            </w:pPr>
            <w:r>
              <w:rPr>
                <w:rFonts w:ascii="Arial" w:cs="Arial" w:eastAsia="Arial" w:hAnsi="Arial"/>
                <w:sz w:val="14"/>
                <w:szCs w:val="14"/>
                <w:color w:val="auto"/>
              </w:rPr>
              <w:t>2</w:t>
            </w:r>
          </w:p>
        </w:tc>
        <w:tc>
          <w:tcPr>
            <w:tcW w:w="3400" w:type="dxa"/>
            <w:vAlign w:val="bottom"/>
          </w:tcPr>
          <w:p>
            <w:pPr>
              <w:ind w:left="80"/>
              <w:spacing w:after="0"/>
              <w:rPr>
                <w:sz w:val="20"/>
                <w:szCs w:val="20"/>
                <w:color w:val="auto"/>
              </w:rPr>
            </w:pPr>
            <w:r>
              <w:rPr>
                <w:rFonts w:ascii="Arial" w:cs="Arial" w:eastAsia="Arial" w:hAnsi="Arial"/>
                <w:sz w:val="18"/>
                <w:szCs w:val="18"/>
                <w:color w:val="auto"/>
                <w:w w:val="99"/>
              </w:rPr>
              <w:t>Further reserves may be taken in addition</w:t>
            </w:r>
          </w:p>
        </w:tc>
        <w:tc>
          <w:tcPr>
            <w:tcW w:w="0" w:type="dxa"/>
            <w:vAlign w:val="bottom"/>
          </w:tcPr>
          <w:p>
            <w:pPr>
              <w:spacing w:after="0"/>
              <w:rPr>
                <w:sz w:val="1"/>
                <w:szCs w:val="1"/>
                <w:color w:val="auto"/>
              </w:rPr>
            </w:pPr>
          </w:p>
        </w:tc>
      </w:tr>
      <w:tr>
        <w:trPr>
          <w:trHeight w:val="239"/>
        </w:trPr>
        <w:tc>
          <w:tcPr>
            <w:tcW w:w="1020" w:type="dxa"/>
            <w:vAlign w:val="bottom"/>
          </w:tcPr>
          <w:p>
            <w:pPr>
              <w:spacing w:after="0"/>
              <w:rPr>
                <w:sz w:val="20"/>
                <w:szCs w:val="20"/>
                <w:color w:val="auto"/>
              </w:rPr>
            </w:pPr>
          </w:p>
        </w:tc>
        <w:tc>
          <w:tcPr>
            <w:tcW w:w="3400" w:type="dxa"/>
            <w:vAlign w:val="bottom"/>
          </w:tcPr>
          <w:p>
            <w:pPr>
              <w:ind w:left="80"/>
              <w:spacing w:after="0"/>
              <w:rPr>
                <w:sz w:val="20"/>
                <w:szCs w:val="20"/>
                <w:color w:val="auto"/>
              </w:rPr>
            </w:pPr>
            <w:r>
              <w:rPr>
                <w:rFonts w:ascii="Arial" w:cs="Arial" w:eastAsia="Arial" w:hAnsi="Arial"/>
                <w:sz w:val="18"/>
                <w:szCs w:val="18"/>
                <w:color w:val="auto"/>
              </w:rPr>
              <w:t>to the reserves required by law.</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1100" w:right="220" w:hanging="225"/>
        <w:spacing w:after="0" w:line="216" w:lineRule="auto"/>
        <w:tabs>
          <w:tab w:leader="none" w:pos="1100" w:val="left"/>
        </w:tabs>
        <w:numPr>
          <w:ilvl w:val="0"/>
          <w:numId w:val="187"/>
        </w:numPr>
        <w:rPr>
          <w:rFonts w:ascii="Arial" w:cs="Arial" w:eastAsia="Arial" w:hAnsi="Arial"/>
          <w:sz w:val="29"/>
          <w:szCs w:val="29"/>
          <w:color w:val="auto"/>
          <w:vertAlign w:val="superscript"/>
        </w:rPr>
      </w:pPr>
      <w:r>
        <w:rPr>
          <w:rFonts w:ascii="Arial" w:cs="Arial" w:eastAsia="Arial" w:hAnsi="Arial"/>
          <w:sz w:val="18"/>
          <w:szCs w:val="18"/>
          <w:color w:val="auto"/>
        </w:rPr>
        <w:t>Dividends that have not been collected within five years after their payment date shall enure to the Company and be allocated to the general statutory reserves.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663575</wp:posOffset>
            </wp:positionH>
            <wp:positionV relativeFrom="paragraph">
              <wp:posOffset>394335</wp:posOffset>
            </wp:positionV>
            <wp:extent cx="223710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403" w:lineRule="exact"/>
        <w:rPr>
          <w:sz w:val="20"/>
          <w:szCs w:val="20"/>
          <w:color w:val="auto"/>
        </w:rPr>
      </w:pPr>
    </w:p>
    <w:p>
      <w:pPr>
        <w:sectPr>
          <w:pgSz w:w="11900" w:h="16838" w:orient="portrait"/>
          <w:cols w:equalWidth="0" w:num="3">
            <w:col w:w="960" w:space="125"/>
            <w:col w:w="3475" w:space="280"/>
            <w:col w:w="4560"/>
          </w:cols>
          <w:pgMar w:left="1220" w:top="670" w:right="12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line="285" w:lineRule="auto"/>
        <w:rPr>
          <w:sz w:val="20"/>
          <w:szCs w:val="20"/>
          <w:color w:val="auto"/>
        </w:rPr>
      </w:pPr>
      <w:r>
        <w:rPr>
          <w:rFonts w:ascii="Arial" w:cs="Arial" w:eastAsia="Arial" w:hAnsi="Arial"/>
          <w:sz w:val="14"/>
          <w:szCs w:val="14"/>
          <w:color w:val="auto"/>
        </w:rPr>
        <w:t>Auflösung und Liquidation</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ind w:left="215"/>
        <w:spacing w:after="0"/>
        <w:rPr>
          <w:sz w:val="20"/>
          <w:szCs w:val="20"/>
          <w:color w:val="auto"/>
        </w:rPr>
      </w:pPr>
      <w:r>
        <w:rPr>
          <w:rFonts w:ascii="Arial" w:cs="Arial" w:eastAsia="Arial" w:hAnsi="Arial"/>
          <w:sz w:val="18"/>
          <w:szCs w:val="18"/>
          <w:b w:val="1"/>
          <w:bCs w:val="1"/>
          <w:color w:val="auto"/>
        </w:rPr>
        <w:t>Abschnitt 5:</w:t>
      </w:r>
    </w:p>
    <w:p>
      <w:pPr>
        <w:spacing w:after="0" w:line="14" w:lineRule="exact"/>
        <w:rPr>
          <w:sz w:val="20"/>
          <w:szCs w:val="20"/>
          <w:color w:val="auto"/>
        </w:rPr>
      </w:pPr>
    </w:p>
    <w:p>
      <w:pPr>
        <w:ind w:left="215" w:right="1140"/>
        <w:spacing w:after="0" w:line="401" w:lineRule="auto"/>
        <w:rPr>
          <w:sz w:val="20"/>
          <w:szCs w:val="20"/>
          <w:color w:val="auto"/>
        </w:rPr>
      </w:pPr>
      <w:r>
        <w:rPr>
          <w:rFonts w:ascii="Arial" w:cs="Arial" w:eastAsia="Arial" w:hAnsi="Arial"/>
          <w:sz w:val="18"/>
          <w:szCs w:val="18"/>
          <w:i w:val="1"/>
          <w:iCs w:val="1"/>
          <w:color w:val="auto"/>
        </w:rPr>
        <w:t xml:space="preserve">Auflösung und Liquidation </w:t>
      </w:r>
      <w:r>
        <w:rPr>
          <w:rFonts w:ascii="Arial" w:cs="Arial" w:eastAsia="Arial" w:hAnsi="Arial"/>
          <w:sz w:val="18"/>
          <w:szCs w:val="18"/>
          <w:b w:val="1"/>
          <w:bCs w:val="1"/>
          <w:color w:val="auto"/>
        </w:rPr>
        <w:t>Artikel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-274955</wp:posOffset>
            </wp:positionV>
            <wp:extent cx="224599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245995" cy="8890"/>
                    </a:xfrm>
                    <a:prstGeom prst="rect">
                      <a:avLst/>
                    </a:prstGeom>
                    <a:noFill/>
                  </pic:spPr>
                </pic:pic>
              </a:graphicData>
            </a:graphic>
          </wp:anchor>
        </w:drawing>
      </w:r>
    </w:p>
    <w:p>
      <w:pPr>
        <w:spacing w:after="0" w:line="13" w:lineRule="exact"/>
        <w:rPr>
          <w:sz w:val="20"/>
          <w:szCs w:val="20"/>
          <w:color w:val="auto"/>
        </w:rPr>
      </w:pPr>
    </w:p>
    <w:p>
      <w:pPr>
        <w:ind w:left="215" w:hanging="215"/>
        <w:spacing w:after="0" w:line="216" w:lineRule="auto"/>
        <w:tabs>
          <w:tab w:leader="none" w:pos="215" w:val="left"/>
        </w:tabs>
        <w:numPr>
          <w:ilvl w:val="0"/>
          <w:numId w:val="188"/>
        </w:numPr>
        <w:rPr>
          <w:rFonts w:ascii="Arial" w:cs="Arial" w:eastAsia="Arial" w:hAnsi="Arial"/>
          <w:sz w:val="29"/>
          <w:szCs w:val="29"/>
          <w:color w:val="auto"/>
          <w:vertAlign w:val="superscript"/>
        </w:rPr>
      </w:pPr>
      <w:r>
        <w:rPr>
          <w:rFonts w:ascii="Arial" w:cs="Arial" w:eastAsia="Arial" w:hAnsi="Arial"/>
          <w:sz w:val="18"/>
          <w:szCs w:val="18"/>
          <w:color w:val="auto"/>
        </w:rPr>
        <w:t>Die Generalversammlung kann jederzeit die Auflösung und Liquidation der Gesellschaft nach Massgabe der gesetzlichen und statutarischen Vorschriften beschliessen.</w:t>
      </w:r>
    </w:p>
    <w:p>
      <w:pPr>
        <w:spacing w:after="0" w:line="75" w:lineRule="exact"/>
        <w:rPr>
          <w:sz w:val="20"/>
          <w:szCs w:val="20"/>
          <w:color w:val="auto"/>
        </w:rPr>
      </w:pPr>
    </w:p>
    <w:p>
      <w:pPr>
        <w:ind w:left="215" w:right="80" w:hanging="215"/>
        <w:spacing w:after="0" w:line="223" w:lineRule="auto"/>
        <w:tabs>
          <w:tab w:leader="none" w:pos="215" w:val="left"/>
        </w:tabs>
        <w:numPr>
          <w:ilvl w:val="0"/>
          <w:numId w:val="189"/>
        </w:numPr>
        <w:rPr>
          <w:rFonts w:ascii="Arial" w:cs="Arial" w:eastAsia="Arial" w:hAnsi="Arial"/>
          <w:sz w:val="28"/>
          <w:szCs w:val="28"/>
          <w:color w:val="auto"/>
          <w:vertAlign w:val="superscript"/>
        </w:rPr>
      </w:pPr>
      <w:r>
        <w:rPr>
          <w:rFonts w:ascii="Arial" w:cs="Arial" w:eastAsia="Arial" w:hAnsi="Arial"/>
          <w:sz w:val="17"/>
          <w:szCs w:val="17"/>
          <w:color w:val="auto"/>
        </w:rPr>
        <w:t>Die Liquidation wird durch den Verwaltungsrat durchgeführt, sofern sie nicht durch die Generalversammlung anderen Personen übertragen wird.</w:t>
      </w:r>
    </w:p>
    <w:p>
      <w:pPr>
        <w:spacing w:after="0" w:line="74" w:lineRule="exact"/>
        <w:rPr>
          <w:sz w:val="20"/>
          <w:szCs w:val="20"/>
          <w:color w:val="auto"/>
        </w:rPr>
      </w:pPr>
    </w:p>
    <w:p>
      <w:pPr>
        <w:ind w:left="215" w:right="120" w:hanging="215"/>
        <w:spacing w:after="0" w:line="206" w:lineRule="auto"/>
        <w:tabs>
          <w:tab w:leader="none" w:pos="215" w:val="left"/>
        </w:tabs>
        <w:numPr>
          <w:ilvl w:val="0"/>
          <w:numId w:val="190"/>
        </w:numPr>
        <w:rPr>
          <w:rFonts w:ascii="Arial" w:cs="Arial" w:eastAsia="Arial" w:hAnsi="Arial"/>
          <w:sz w:val="29"/>
          <w:szCs w:val="29"/>
          <w:color w:val="auto"/>
          <w:vertAlign w:val="superscript"/>
        </w:rPr>
      </w:pPr>
      <w:r>
        <w:rPr>
          <w:rFonts w:ascii="Arial" w:cs="Arial" w:eastAsia="Arial" w:hAnsi="Arial"/>
          <w:sz w:val="18"/>
          <w:szCs w:val="18"/>
          <w:color w:val="auto"/>
        </w:rPr>
        <w:t>Die Liquidation der Gesellschaft erfolgt nach Massgabe der gesetzlichen Vorschriften.</w:t>
      </w:r>
    </w:p>
    <w:p>
      <w:pPr>
        <w:spacing w:after="0" w:line="20" w:lineRule="exact"/>
        <w:rPr>
          <w:sz w:val="20"/>
          <w:szCs w:val="20"/>
          <w:color w:val="auto"/>
        </w:rPr>
      </w:pPr>
      <w:r>
        <w:rPr>
          <w:sz w:val="20"/>
          <w:szCs w:val="20"/>
          <w:color w:val="auto"/>
        </w:rPr>
        <w:br w:type="column"/>
      </w:r>
    </w:p>
    <w:p>
      <w:pPr>
        <w:spacing w:after="0" w:line="2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040" w:type="dxa"/>
            <w:vAlign w:val="bottom"/>
          </w:tcPr>
          <w:p>
            <w:pPr>
              <w:spacing w:after="0"/>
              <w:rPr>
                <w:sz w:val="18"/>
                <w:szCs w:val="18"/>
                <w:color w:val="auto"/>
              </w:rPr>
            </w:pPr>
          </w:p>
        </w:tc>
        <w:tc>
          <w:tcPr>
            <w:tcW w:w="3520" w:type="dxa"/>
            <w:vAlign w:val="bottom"/>
          </w:tcPr>
          <w:p>
            <w:pPr>
              <w:ind w:left="60"/>
              <w:spacing w:after="0"/>
              <w:rPr>
                <w:sz w:val="20"/>
                <w:szCs w:val="20"/>
                <w:color w:val="auto"/>
              </w:rPr>
            </w:pPr>
            <w:r>
              <w:rPr>
                <w:rFonts w:ascii="Arial" w:cs="Arial" w:eastAsia="Arial" w:hAnsi="Arial"/>
                <w:sz w:val="18"/>
                <w:szCs w:val="18"/>
                <w:b w:val="1"/>
                <w:bCs w:val="1"/>
                <w:color w:val="auto"/>
              </w:rPr>
              <w:t>Section 5:</w:t>
            </w:r>
          </w:p>
        </w:tc>
        <w:tc>
          <w:tcPr>
            <w:tcW w:w="0" w:type="dxa"/>
            <w:vAlign w:val="bottom"/>
          </w:tcPr>
          <w:p>
            <w:pPr>
              <w:spacing w:after="0"/>
              <w:rPr>
                <w:sz w:val="1"/>
                <w:szCs w:val="1"/>
                <w:color w:val="auto"/>
              </w:rPr>
            </w:pPr>
          </w:p>
        </w:tc>
      </w:tr>
      <w:tr>
        <w:trPr>
          <w:trHeight w:val="237"/>
        </w:trPr>
        <w:tc>
          <w:tcPr>
            <w:tcW w:w="1040" w:type="dxa"/>
            <w:vAlign w:val="bottom"/>
          </w:tcPr>
          <w:p>
            <w:pPr>
              <w:spacing w:after="0"/>
              <w:rPr>
                <w:sz w:val="20"/>
                <w:szCs w:val="20"/>
                <w:color w:val="auto"/>
              </w:rPr>
            </w:pPr>
          </w:p>
        </w:tc>
        <w:tc>
          <w:tcPr>
            <w:tcW w:w="3520" w:type="dxa"/>
            <w:vAlign w:val="bottom"/>
          </w:tcPr>
          <w:p>
            <w:pPr>
              <w:ind w:left="60"/>
              <w:spacing w:after="0"/>
              <w:rPr>
                <w:sz w:val="20"/>
                <w:szCs w:val="20"/>
                <w:color w:val="auto"/>
              </w:rPr>
            </w:pPr>
            <w:r>
              <w:rPr>
                <w:rFonts w:ascii="Arial" w:cs="Arial" w:eastAsia="Arial" w:hAnsi="Arial"/>
                <w:sz w:val="18"/>
                <w:szCs w:val="18"/>
                <w:i w:val="1"/>
                <w:iCs w:val="1"/>
                <w:color w:val="auto"/>
              </w:rPr>
              <w:t>Winding-up and Liquidation</w:t>
            </w:r>
          </w:p>
        </w:tc>
        <w:tc>
          <w:tcPr>
            <w:tcW w:w="0" w:type="dxa"/>
            <w:vAlign w:val="bottom"/>
          </w:tcPr>
          <w:p>
            <w:pPr>
              <w:spacing w:after="0"/>
              <w:rPr>
                <w:sz w:val="1"/>
                <w:szCs w:val="1"/>
                <w:color w:val="auto"/>
              </w:rPr>
            </w:pPr>
          </w:p>
        </w:tc>
      </w:tr>
      <w:tr>
        <w:trPr>
          <w:trHeight w:val="36"/>
        </w:trPr>
        <w:tc>
          <w:tcPr>
            <w:tcW w:w="1040" w:type="dxa"/>
            <w:vAlign w:val="bottom"/>
          </w:tcPr>
          <w:p>
            <w:pPr>
              <w:spacing w:after="0"/>
              <w:rPr>
                <w:sz w:val="3"/>
                <w:szCs w:val="3"/>
                <w:color w:val="auto"/>
              </w:rPr>
            </w:pPr>
          </w:p>
        </w:tc>
        <w:tc>
          <w:tcPr>
            <w:tcW w:w="35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5"/>
        </w:trPr>
        <w:tc>
          <w:tcPr>
            <w:tcW w:w="1040" w:type="dxa"/>
            <w:vAlign w:val="bottom"/>
          </w:tcPr>
          <w:p>
            <w:pPr>
              <w:spacing w:after="0"/>
              <w:rPr>
                <w:sz w:val="23"/>
                <w:szCs w:val="23"/>
                <w:color w:val="auto"/>
              </w:rPr>
            </w:pPr>
          </w:p>
        </w:tc>
        <w:tc>
          <w:tcPr>
            <w:tcW w:w="3520" w:type="dxa"/>
            <w:vAlign w:val="bottom"/>
          </w:tcPr>
          <w:p>
            <w:pPr>
              <w:ind w:left="60"/>
              <w:spacing w:after="0"/>
              <w:rPr>
                <w:sz w:val="20"/>
                <w:szCs w:val="20"/>
                <w:color w:val="auto"/>
              </w:rPr>
            </w:pPr>
            <w:r>
              <w:rPr>
                <w:rFonts w:ascii="Arial" w:cs="Arial" w:eastAsia="Arial" w:hAnsi="Arial"/>
                <w:sz w:val="18"/>
                <w:szCs w:val="18"/>
                <w:b w:val="1"/>
                <w:bCs w:val="1"/>
                <w:color w:val="auto"/>
              </w:rPr>
              <w:t>Article 32</w:t>
            </w:r>
          </w:p>
        </w:tc>
        <w:tc>
          <w:tcPr>
            <w:tcW w:w="0" w:type="dxa"/>
            <w:vAlign w:val="bottom"/>
          </w:tcPr>
          <w:p>
            <w:pPr>
              <w:spacing w:after="0"/>
              <w:rPr>
                <w:sz w:val="1"/>
                <w:szCs w:val="1"/>
                <w:color w:val="auto"/>
              </w:rPr>
            </w:pPr>
          </w:p>
        </w:tc>
      </w:tr>
      <w:tr>
        <w:trPr>
          <w:trHeight w:val="353"/>
        </w:trPr>
        <w:tc>
          <w:tcPr>
            <w:tcW w:w="1040" w:type="dxa"/>
            <w:vAlign w:val="bottom"/>
          </w:tcPr>
          <w:p>
            <w:pPr>
              <w:spacing w:after="0"/>
              <w:rPr>
                <w:sz w:val="20"/>
                <w:szCs w:val="20"/>
                <w:color w:val="auto"/>
              </w:rPr>
            </w:pPr>
            <w:r>
              <w:rPr>
                <w:rFonts w:ascii="Arial" w:cs="Arial" w:eastAsia="Arial" w:hAnsi="Arial"/>
                <w:sz w:val="14"/>
                <w:szCs w:val="14"/>
                <w:color w:val="auto"/>
              </w:rPr>
              <w:t>Winding-up  1</w:t>
            </w:r>
          </w:p>
        </w:tc>
        <w:tc>
          <w:tcPr>
            <w:tcW w:w="3520" w:type="dxa"/>
            <w:vAlign w:val="bottom"/>
          </w:tcPr>
          <w:p>
            <w:pPr>
              <w:ind w:left="60"/>
              <w:spacing w:after="0"/>
              <w:rPr>
                <w:sz w:val="20"/>
                <w:szCs w:val="20"/>
                <w:color w:val="auto"/>
              </w:rPr>
            </w:pPr>
            <w:r>
              <w:rPr>
                <w:rFonts w:ascii="Arial" w:cs="Arial" w:eastAsia="Arial" w:hAnsi="Arial"/>
                <w:sz w:val="18"/>
                <w:szCs w:val="18"/>
                <w:color w:val="auto"/>
              </w:rPr>
              <w:t>The General Meeting of Shareholders</w:t>
            </w:r>
          </w:p>
        </w:tc>
        <w:tc>
          <w:tcPr>
            <w:tcW w:w="0" w:type="dxa"/>
            <w:vAlign w:val="bottom"/>
          </w:tcPr>
          <w:p>
            <w:pPr>
              <w:spacing w:after="0"/>
              <w:rPr>
                <w:sz w:val="1"/>
                <w:szCs w:val="1"/>
                <w:color w:val="auto"/>
              </w:rPr>
            </w:pPr>
          </w:p>
        </w:tc>
      </w:tr>
      <w:tr>
        <w:trPr>
          <w:trHeight w:val="203"/>
        </w:trPr>
        <w:tc>
          <w:tcPr>
            <w:tcW w:w="1040" w:type="dxa"/>
            <w:vAlign w:val="bottom"/>
          </w:tcPr>
          <w:p>
            <w:pPr>
              <w:spacing w:after="0"/>
              <w:rPr>
                <w:sz w:val="20"/>
                <w:szCs w:val="20"/>
                <w:color w:val="auto"/>
              </w:rPr>
            </w:pPr>
            <w:r>
              <w:rPr>
                <w:rFonts w:ascii="Arial" w:cs="Arial" w:eastAsia="Arial" w:hAnsi="Arial"/>
                <w:sz w:val="14"/>
                <w:szCs w:val="14"/>
                <w:color w:val="auto"/>
              </w:rPr>
              <w:t>and</w:t>
            </w:r>
          </w:p>
        </w:tc>
        <w:tc>
          <w:tcPr>
            <w:tcW w:w="3520" w:type="dxa"/>
            <w:vAlign w:val="bottom"/>
          </w:tcPr>
          <w:p>
            <w:pPr>
              <w:ind w:left="60"/>
              <w:spacing w:after="0" w:line="202" w:lineRule="exact"/>
              <w:rPr>
                <w:sz w:val="20"/>
                <w:szCs w:val="20"/>
                <w:color w:val="auto"/>
              </w:rPr>
            </w:pPr>
            <w:r>
              <w:rPr>
                <w:rFonts w:ascii="Arial" w:cs="Arial" w:eastAsia="Arial" w:hAnsi="Arial"/>
                <w:sz w:val="18"/>
                <w:szCs w:val="18"/>
                <w:color w:val="auto"/>
              </w:rPr>
              <w:t>may at any time resolve on the winding-up</w:t>
            </w:r>
          </w:p>
        </w:tc>
        <w:tc>
          <w:tcPr>
            <w:tcW w:w="0" w:type="dxa"/>
            <w:vAlign w:val="bottom"/>
          </w:tcPr>
          <w:p>
            <w:pPr>
              <w:spacing w:after="0"/>
              <w:rPr>
                <w:sz w:val="1"/>
                <w:szCs w:val="1"/>
                <w:color w:val="auto"/>
              </w:rPr>
            </w:pPr>
          </w:p>
        </w:tc>
      </w:tr>
      <w:tr>
        <w:trPr>
          <w:trHeight w:val="190"/>
        </w:trPr>
        <w:tc>
          <w:tcPr>
            <w:tcW w:w="1040" w:type="dxa"/>
            <w:vAlign w:val="bottom"/>
          </w:tcPr>
          <w:p>
            <w:pPr>
              <w:spacing w:after="0"/>
              <w:rPr>
                <w:sz w:val="20"/>
                <w:szCs w:val="20"/>
                <w:color w:val="auto"/>
              </w:rPr>
            </w:pPr>
            <w:r>
              <w:rPr>
                <w:rFonts w:ascii="Arial" w:cs="Arial" w:eastAsia="Arial" w:hAnsi="Arial"/>
                <w:sz w:val="14"/>
                <w:szCs w:val="14"/>
                <w:color w:val="auto"/>
              </w:rPr>
              <w:t>Liquidation</w:t>
            </w:r>
          </w:p>
        </w:tc>
        <w:tc>
          <w:tcPr>
            <w:tcW w:w="3520" w:type="dxa"/>
            <w:vAlign w:val="bottom"/>
            <w:vMerge w:val="restart"/>
          </w:tcPr>
          <w:p>
            <w:pPr>
              <w:ind w:left="60"/>
              <w:spacing w:after="0"/>
              <w:rPr>
                <w:sz w:val="20"/>
                <w:szCs w:val="20"/>
                <w:color w:val="auto"/>
              </w:rPr>
            </w:pPr>
            <w:r>
              <w:rPr>
                <w:rFonts w:ascii="Arial" w:cs="Arial" w:eastAsia="Arial" w:hAnsi="Arial"/>
                <w:sz w:val="18"/>
                <w:szCs w:val="18"/>
                <w:color w:val="auto"/>
              </w:rPr>
              <w:t>and liquidation of the Company pursuant</w:t>
            </w:r>
          </w:p>
        </w:tc>
        <w:tc>
          <w:tcPr>
            <w:tcW w:w="0" w:type="dxa"/>
            <w:vAlign w:val="bottom"/>
          </w:tcPr>
          <w:p>
            <w:pPr>
              <w:spacing w:after="0"/>
              <w:rPr>
                <w:sz w:val="1"/>
                <w:szCs w:val="1"/>
                <w:color w:val="auto"/>
              </w:rPr>
            </w:pPr>
          </w:p>
        </w:tc>
      </w:tr>
      <w:tr>
        <w:trPr>
          <w:trHeight w:val="34"/>
        </w:trPr>
        <w:tc>
          <w:tcPr>
            <w:tcW w:w="1040" w:type="dxa"/>
            <w:vAlign w:val="bottom"/>
          </w:tcPr>
          <w:p>
            <w:pPr>
              <w:spacing w:after="0"/>
              <w:rPr>
                <w:sz w:val="2"/>
                <w:szCs w:val="2"/>
                <w:color w:val="auto"/>
              </w:rPr>
            </w:pPr>
          </w:p>
        </w:tc>
        <w:tc>
          <w:tcPr>
            <w:tcW w:w="35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040" w:type="dxa"/>
            <w:vAlign w:val="bottom"/>
          </w:tcPr>
          <w:p>
            <w:pPr>
              <w:spacing w:after="0"/>
              <w:rPr>
                <w:sz w:val="17"/>
                <w:szCs w:val="17"/>
                <w:color w:val="auto"/>
              </w:rPr>
            </w:pPr>
          </w:p>
        </w:tc>
        <w:tc>
          <w:tcPr>
            <w:tcW w:w="3520" w:type="dxa"/>
            <w:vAlign w:val="bottom"/>
          </w:tcPr>
          <w:p>
            <w:pPr>
              <w:ind w:left="60"/>
              <w:spacing w:after="0" w:line="202" w:lineRule="exact"/>
              <w:rPr>
                <w:sz w:val="20"/>
                <w:szCs w:val="20"/>
                <w:color w:val="auto"/>
              </w:rPr>
            </w:pPr>
            <w:r>
              <w:rPr>
                <w:rFonts w:ascii="Arial" w:cs="Arial" w:eastAsia="Arial" w:hAnsi="Arial"/>
                <w:sz w:val="18"/>
                <w:szCs w:val="18"/>
                <w:color w:val="auto"/>
              </w:rPr>
              <w:t>to applicable law and the provisions set</w:t>
            </w:r>
          </w:p>
        </w:tc>
        <w:tc>
          <w:tcPr>
            <w:tcW w:w="0" w:type="dxa"/>
            <w:vAlign w:val="bottom"/>
          </w:tcPr>
          <w:p>
            <w:pPr>
              <w:spacing w:after="0"/>
              <w:rPr>
                <w:sz w:val="1"/>
                <w:szCs w:val="1"/>
                <w:color w:val="auto"/>
              </w:rPr>
            </w:pPr>
          </w:p>
        </w:tc>
      </w:tr>
      <w:tr>
        <w:trPr>
          <w:trHeight w:val="239"/>
        </w:trPr>
        <w:tc>
          <w:tcPr>
            <w:tcW w:w="1040" w:type="dxa"/>
            <w:vAlign w:val="bottom"/>
          </w:tcPr>
          <w:p>
            <w:pPr>
              <w:spacing w:after="0"/>
              <w:rPr>
                <w:sz w:val="20"/>
                <w:szCs w:val="20"/>
                <w:color w:val="auto"/>
              </w:rPr>
            </w:pPr>
          </w:p>
        </w:tc>
        <w:tc>
          <w:tcPr>
            <w:tcW w:w="3520" w:type="dxa"/>
            <w:vAlign w:val="bottom"/>
          </w:tcPr>
          <w:p>
            <w:pPr>
              <w:ind w:left="60"/>
              <w:spacing w:after="0"/>
              <w:rPr>
                <w:sz w:val="20"/>
                <w:szCs w:val="20"/>
                <w:color w:val="auto"/>
              </w:rPr>
            </w:pPr>
            <w:r>
              <w:rPr>
                <w:rFonts w:ascii="Arial" w:cs="Arial" w:eastAsia="Arial" w:hAnsi="Arial"/>
                <w:sz w:val="18"/>
                <w:szCs w:val="18"/>
                <w:color w:val="auto"/>
              </w:rPr>
              <w:t>forth in these Articles of Association.</w:t>
            </w:r>
          </w:p>
        </w:tc>
        <w:tc>
          <w:tcPr>
            <w:tcW w:w="0" w:type="dxa"/>
            <w:vAlign w:val="bottom"/>
          </w:tcPr>
          <w:p>
            <w:pPr>
              <w:spacing w:after="0"/>
              <w:rPr>
                <w:sz w:val="1"/>
                <w:szCs w:val="1"/>
                <w:color w:val="auto"/>
              </w:rPr>
            </w:pPr>
          </w:p>
        </w:tc>
      </w:tr>
      <w:tr>
        <w:trPr>
          <w:trHeight w:val="274"/>
        </w:trPr>
        <w:tc>
          <w:tcPr>
            <w:tcW w:w="104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3520" w:type="dxa"/>
            <w:vAlign w:val="bottom"/>
          </w:tcPr>
          <w:p>
            <w:pPr>
              <w:ind w:left="60"/>
              <w:spacing w:after="0"/>
              <w:rPr>
                <w:sz w:val="20"/>
                <w:szCs w:val="20"/>
                <w:color w:val="auto"/>
              </w:rPr>
            </w:pPr>
            <w:r>
              <w:rPr>
                <w:rFonts w:ascii="Arial" w:cs="Arial" w:eastAsia="Arial" w:hAnsi="Arial"/>
                <w:sz w:val="18"/>
                <w:szCs w:val="18"/>
                <w:color w:val="auto"/>
              </w:rPr>
              <w:t>The liquidation shall be effected by the</w:t>
            </w:r>
          </w:p>
        </w:tc>
        <w:tc>
          <w:tcPr>
            <w:tcW w:w="0" w:type="dxa"/>
            <w:vAlign w:val="bottom"/>
          </w:tcPr>
          <w:p>
            <w:pPr>
              <w:spacing w:after="0"/>
              <w:rPr>
                <w:sz w:val="1"/>
                <w:szCs w:val="1"/>
                <w:color w:val="auto"/>
              </w:rPr>
            </w:pPr>
          </w:p>
        </w:tc>
      </w:tr>
      <w:tr>
        <w:trPr>
          <w:trHeight w:val="203"/>
        </w:trPr>
        <w:tc>
          <w:tcPr>
            <w:tcW w:w="1040" w:type="dxa"/>
            <w:vAlign w:val="bottom"/>
          </w:tcPr>
          <w:p>
            <w:pPr>
              <w:spacing w:after="0"/>
              <w:rPr>
                <w:sz w:val="17"/>
                <w:szCs w:val="17"/>
                <w:color w:val="auto"/>
              </w:rPr>
            </w:pPr>
          </w:p>
        </w:tc>
        <w:tc>
          <w:tcPr>
            <w:tcW w:w="3520" w:type="dxa"/>
            <w:vAlign w:val="bottom"/>
          </w:tcPr>
          <w:p>
            <w:pPr>
              <w:ind w:left="60"/>
              <w:spacing w:after="0" w:line="202" w:lineRule="exact"/>
              <w:rPr>
                <w:sz w:val="20"/>
                <w:szCs w:val="20"/>
                <w:color w:val="auto"/>
              </w:rPr>
            </w:pPr>
            <w:r>
              <w:rPr>
                <w:rFonts w:ascii="Arial" w:cs="Arial" w:eastAsia="Arial" w:hAnsi="Arial"/>
                <w:sz w:val="18"/>
                <w:szCs w:val="18"/>
                <w:color w:val="auto"/>
              </w:rPr>
              <w:t>Board of Directors, unless the General</w:t>
            </w:r>
          </w:p>
        </w:tc>
        <w:tc>
          <w:tcPr>
            <w:tcW w:w="0" w:type="dxa"/>
            <w:vAlign w:val="bottom"/>
          </w:tcPr>
          <w:p>
            <w:pPr>
              <w:spacing w:after="0"/>
              <w:rPr>
                <w:sz w:val="1"/>
                <w:szCs w:val="1"/>
                <w:color w:val="auto"/>
              </w:rPr>
            </w:pPr>
          </w:p>
        </w:tc>
      </w:tr>
      <w:tr>
        <w:trPr>
          <w:trHeight w:val="203"/>
        </w:trPr>
        <w:tc>
          <w:tcPr>
            <w:tcW w:w="1040" w:type="dxa"/>
            <w:vAlign w:val="bottom"/>
          </w:tcPr>
          <w:p>
            <w:pPr>
              <w:spacing w:after="0"/>
              <w:rPr>
                <w:sz w:val="17"/>
                <w:szCs w:val="17"/>
                <w:color w:val="auto"/>
              </w:rPr>
            </w:pPr>
          </w:p>
        </w:tc>
        <w:tc>
          <w:tcPr>
            <w:tcW w:w="3520" w:type="dxa"/>
            <w:vAlign w:val="bottom"/>
          </w:tcPr>
          <w:p>
            <w:pPr>
              <w:ind w:left="60"/>
              <w:spacing w:after="0" w:line="202" w:lineRule="exact"/>
              <w:rPr>
                <w:sz w:val="20"/>
                <w:szCs w:val="20"/>
                <w:color w:val="auto"/>
              </w:rPr>
            </w:pPr>
            <w:r>
              <w:rPr>
                <w:rFonts w:ascii="Arial" w:cs="Arial" w:eastAsia="Arial" w:hAnsi="Arial"/>
                <w:sz w:val="18"/>
                <w:szCs w:val="18"/>
                <w:color w:val="auto"/>
              </w:rPr>
              <w:t>Meeting of Shareholders shall appoint</w:t>
            </w:r>
          </w:p>
        </w:tc>
        <w:tc>
          <w:tcPr>
            <w:tcW w:w="0" w:type="dxa"/>
            <w:vAlign w:val="bottom"/>
          </w:tcPr>
          <w:p>
            <w:pPr>
              <w:spacing w:after="0"/>
              <w:rPr>
                <w:sz w:val="1"/>
                <w:szCs w:val="1"/>
                <w:color w:val="auto"/>
              </w:rPr>
            </w:pPr>
          </w:p>
        </w:tc>
      </w:tr>
      <w:tr>
        <w:trPr>
          <w:trHeight w:val="239"/>
        </w:trPr>
        <w:tc>
          <w:tcPr>
            <w:tcW w:w="1040" w:type="dxa"/>
            <w:vAlign w:val="bottom"/>
          </w:tcPr>
          <w:p>
            <w:pPr>
              <w:spacing w:after="0"/>
              <w:rPr>
                <w:sz w:val="20"/>
                <w:szCs w:val="20"/>
                <w:color w:val="auto"/>
              </w:rPr>
            </w:pPr>
          </w:p>
        </w:tc>
        <w:tc>
          <w:tcPr>
            <w:tcW w:w="3520" w:type="dxa"/>
            <w:vAlign w:val="bottom"/>
          </w:tcPr>
          <w:p>
            <w:pPr>
              <w:ind w:left="60"/>
              <w:spacing w:after="0"/>
              <w:rPr>
                <w:sz w:val="20"/>
                <w:szCs w:val="20"/>
                <w:color w:val="auto"/>
              </w:rPr>
            </w:pPr>
            <w:r>
              <w:rPr>
                <w:rFonts w:ascii="Arial" w:cs="Arial" w:eastAsia="Arial" w:hAnsi="Arial"/>
                <w:sz w:val="18"/>
                <w:szCs w:val="18"/>
                <w:color w:val="auto"/>
              </w:rPr>
              <w:t>other persons as liquidators.</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1100" w:right="300" w:hanging="225"/>
        <w:spacing w:after="0" w:line="206" w:lineRule="auto"/>
        <w:tabs>
          <w:tab w:leader="none" w:pos="1100" w:val="left"/>
        </w:tabs>
        <w:numPr>
          <w:ilvl w:val="0"/>
          <w:numId w:val="191"/>
        </w:numPr>
        <w:rPr>
          <w:rFonts w:ascii="Arial" w:cs="Arial" w:eastAsia="Arial" w:hAnsi="Arial"/>
          <w:sz w:val="29"/>
          <w:szCs w:val="29"/>
          <w:color w:val="auto"/>
          <w:vertAlign w:val="superscript"/>
        </w:rPr>
      </w:pPr>
      <w:r>
        <w:rPr>
          <w:rFonts w:ascii="Arial" w:cs="Arial" w:eastAsia="Arial" w:hAnsi="Arial"/>
          <w:sz w:val="18"/>
          <w:szCs w:val="18"/>
          <w:color w:val="auto"/>
        </w:rPr>
        <w:t>The liquidation of the Company shall be effectuated pursuant to the statutory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-3159125</wp:posOffset>
            </wp:positionH>
            <wp:positionV relativeFrom="paragraph">
              <wp:posOffset>367665</wp:posOffset>
            </wp:positionV>
            <wp:extent cx="629221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3">
            <w:col w:w="920" w:space="165"/>
            <w:col w:w="3435" w:space="320"/>
            <w:col w:w="4560"/>
          </w:cols>
          <w:pgMar w:left="1220" w:top="670" w:right="1279" w:bottom="1440" w:gutter="0" w:footer="0" w:header="0"/>
          <w:type w:val="continuous"/>
        </w:sectPr>
      </w:pPr>
    </w:p>
    <w:bookmarkStart w:id="47" w:name="page48"/>
    <w:bookmarkEnd w:id="47"/>
    <w:p>
      <w:pPr>
        <w:jc w:val="center"/>
        <w:ind w:right="-299"/>
        <w:spacing w:after="0"/>
        <w:rPr>
          <w:sz w:val="20"/>
          <w:szCs w:val="20"/>
          <w:color w:val="auto"/>
        </w:rPr>
      </w:pPr>
      <w:r>
        <w:rPr>
          <w:rFonts w:ascii="Arial" w:cs="Arial" w:eastAsia="Arial" w:hAnsi="Arial"/>
          <w:sz w:val="13"/>
          <w:szCs w:val="13"/>
          <w:color w:val="auto"/>
        </w:rPr>
        <w:t>- 40 -</w:t>
      </w:r>
    </w:p>
    <w:p>
      <w:pPr>
        <w:sectPr>
          <w:pgSz w:w="11900" w:h="16838" w:orient="portrait"/>
          <w:cols w:equalWidth="0" w:num="1">
            <w:col w:w="9340"/>
          </w:cols>
          <w:pgMar w:left="1220" w:top="670"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200" w:right="690" w:hanging="237"/>
        <w:spacing w:after="0" w:line="216" w:lineRule="auto"/>
        <w:tabs>
          <w:tab w:leader="none" w:pos="1200" w:val="left"/>
        </w:tabs>
        <w:numPr>
          <w:ilvl w:val="0"/>
          <w:numId w:val="192"/>
        </w:numPr>
        <w:rPr>
          <w:rFonts w:ascii="Arial" w:cs="Arial" w:eastAsia="Arial" w:hAnsi="Arial"/>
          <w:sz w:val="29"/>
          <w:szCs w:val="29"/>
          <w:color w:val="auto"/>
          <w:vertAlign w:val="superscript"/>
        </w:rPr>
      </w:pPr>
      <w:r>
        <w:rPr>
          <w:rFonts w:ascii="Arial" w:cs="Arial" w:eastAsia="Arial" w:hAnsi="Arial"/>
          <w:sz w:val="18"/>
          <w:szCs w:val="18"/>
          <w:color w:val="auto"/>
        </w:rPr>
        <w:t>Nach erfolgter Tilgung der Schulden wird das Vermögen unter die Aktionäre nach Massgabe der eingezahlten Beträge verteilt, soweit diese Statuten nichts anderes vorsehen.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428625</wp:posOffset>
            </wp:positionV>
            <wp:extent cx="218567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1856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30" w:right="80" w:hanging="230"/>
        <w:spacing w:after="0" w:line="219" w:lineRule="auto"/>
        <w:tabs>
          <w:tab w:leader="none" w:pos="230" w:val="left"/>
        </w:tabs>
        <w:numPr>
          <w:ilvl w:val="0"/>
          <w:numId w:val="193"/>
        </w:numPr>
        <w:rPr>
          <w:rFonts w:ascii="Arial" w:cs="Arial" w:eastAsia="Arial" w:hAnsi="Arial"/>
          <w:sz w:val="29"/>
          <w:szCs w:val="29"/>
          <w:color w:val="auto"/>
          <w:vertAlign w:val="superscript"/>
        </w:rPr>
      </w:pPr>
      <w:r>
        <w:rPr>
          <w:rFonts w:ascii="Arial" w:cs="Arial" w:eastAsia="Arial" w:hAnsi="Arial"/>
          <w:sz w:val="18"/>
          <w:szCs w:val="18"/>
          <w:color w:val="auto"/>
        </w:rPr>
        <w:t>Upon discharge of all liabilities, the assets of the Company shall be distributed to the shareholders pursuant to the amounts paid in, unless these Articles of Association provide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299085</wp:posOffset>
            </wp:positionV>
            <wp:extent cx="21513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30" w:space="720"/>
            <w:col w:w="3490"/>
          </w:cols>
          <w:pgMar w:left="1220" w:top="670" w:right="1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line="263" w:lineRule="auto"/>
        <w:rPr>
          <w:sz w:val="20"/>
          <w:szCs w:val="20"/>
          <w:color w:val="auto"/>
        </w:rPr>
      </w:pPr>
      <w:r>
        <w:rPr>
          <w:rFonts w:ascii="Arial" w:cs="Arial" w:eastAsia="Arial" w:hAnsi="Arial"/>
          <w:sz w:val="14"/>
          <w:szCs w:val="14"/>
          <w:color w:val="auto"/>
        </w:rPr>
        <w:t>Bekannt-machungen, Mitteilungen</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ind w:left="237"/>
        <w:spacing w:after="0"/>
        <w:rPr>
          <w:sz w:val="20"/>
          <w:szCs w:val="20"/>
          <w:color w:val="auto"/>
        </w:rPr>
      </w:pPr>
      <w:r>
        <w:rPr>
          <w:rFonts w:ascii="Arial" w:cs="Arial" w:eastAsia="Arial" w:hAnsi="Arial"/>
          <w:sz w:val="18"/>
          <w:szCs w:val="18"/>
          <w:b w:val="1"/>
          <w:bCs w:val="1"/>
          <w:color w:val="auto"/>
        </w:rPr>
        <w:t>Abschnitt 6:</w:t>
      </w:r>
    </w:p>
    <w:p>
      <w:pPr>
        <w:spacing w:after="0" w:line="14" w:lineRule="exact"/>
        <w:rPr>
          <w:sz w:val="20"/>
          <w:szCs w:val="20"/>
          <w:color w:val="auto"/>
        </w:rPr>
      </w:pPr>
    </w:p>
    <w:p>
      <w:pPr>
        <w:ind w:left="237" w:right="560"/>
        <w:spacing w:after="0" w:line="401" w:lineRule="auto"/>
        <w:rPr>
          <w:sz w:val="20"/>
          <w:szCs w:val="20"/>
          <w:color w:val="auto"/>
        </w:rPr>
      </w:pPr>
      <w:r>
        <w:rPr>
          <w:rFonts w:ascii="Arial" w:cs="Arial" w:eastAsia="Arial" w:hAnsi="Arial"/>
          <w:sz w:val="18"/>
          <w:szCs w:val="18"/>
          <w:i w:val="1"/>
          <w:iCs w:val="1"/>
          <w:color w:val="auto"/>
        </w:rPr>
        <w:t xml:space="preserve">Bekanntmachungen, Mitteilungen </w:t>
      </w:r>
      <w:r>
        <w:rPr>
          <w:rFonts w:ascii="Arial" w:cs="Arial" w:eastAsia="Arial" w:hAnsi="Arial"/>
          <w:sz w:val="18"/>
          <w:szCs w:val="18"/>
          <w:b w:val="1"/>
          <w:bCs w:val="1"/>
          <w:color w:val="auto"/>
        </w:rPr>
        <w:t>Artikel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-274955</wp:posOffset>
            </wp:positionV>
            <wp:extent cx="218567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185670" cy="8890"/>
                    </a:xfrm>
                    <a:prstGeom prst="rect">
                      <a:avLst/>
                    </a:prstGeom>
                    <a:noFill/>
                  </pic:spPr>
                </pic:pic>
              </a:graphicData>
            </a:graphic>
          </wp:anchor>
        </w:drawing>
      </w:r>
    </w:p>
    <w:p>
      <w:pPr>
        <w:spacing w:after="0" w:line="13" w:lineRule="exact"/>
        <w:rPr>
          <w:sz w:val="20"/>
          <w:szCs w:val="20"/>
          <w:color w:val="auto"/>
        </w:rPr>
      </w:pPr>
    </w:p>
    <w:p>
      <w:pPr>
        <w:ind w:left="237" w:right="140" w:hanging="237"/>
        <w:spacing w:after="0" w:line="223" w:lineRule="auto"/>
        <w:tabs>
          <w:tab w:leader="none" w:pos="237" w:val="left"/>
        </w:tabs>
        <w:numPr>
          <w:ilvl w:val="0"/>
          <w:numId w:val="194"/>
        </w:numPr>
        <w:rPr>
          <w:rFonts w:ascii="Arial" w:cs="Arial" w:eastAsia="Arial" w:hAnsi="Arial"/>
          <w:sz w:val="28"/>
          <w:szCs w:val="28"/>
          <w:color w:val="auto"/>
          <w:vertAlign w:val="superscript"/>
        </w:rPr>
      </w:pPr>
      <w:r>
        <w:rPr>
          <w:rFonts w:ascii="Arial" w:cs="Arial" w:eastAsia="Arial" w:hAnsi="Arial"/>
          <w:sz w:val="17"/>
          <w:szCs w:val="17"/>
          <w:color w:val="auto"/>
        </w:rPr>
        <w:t>Publikationsorgan der Gesellschaft ist das Schweizerische Handelsamtsblatt. Der Verwaltungsrat kann weitere Publikationsorgane bezeichnen.</w:t>
      </w:r>
    </w:p>
    <w:p>
      <w:pPr>
        <w:spacing w:after="0" w:line="276" w:lineRule="exact"/>
        <w:rPr>
          <w:sz w:val="20"/>
          <w:szCs w:val="20"/>
          <w:color w:val="auto"/>
        </w:rPr>
      </w:pPr>
    </w:p>
    <w:p>
      <w:pPr>
        <w:ind w:left="237" w:hanging="237"/>
        <w:spacing w:after="0" w:line="231" w:lineRule="auto"/>
        <w:tabs>
          <w:tab w:leader="none" w:pos="237" w:val="left"/>
        </w:tabs>
        <w:numPr>
          <w:ilvl w:val="0"/>
          <w:numId w:val="195"/>
        </w:numPr>
        <w:rPr>
          <w:rFonts w:ascii="Arial" w:cs="Arial" w:eastAsia="Arial" w:hAnsi="Arial"/>
          <w:sz w:val="29"/>
          <w:szCs w:val="29"/>
          <w:color w:val="auto"/>
          <w:vertAlign w:val="superscript"/>
        </w:rPr>
      </w:pPr>
      <w:r>
        <w:rPr>
          <w:rFonts w:ascii="Arial" w:cs="Arial" w:eastAsia="Arial" w:hAnsi="Arial"/>
          <w:sz w:val="18"/>
          <w:szCs w:val="18"/>
          <w:color w:val="auto"/>
        </w:rPr>
        <w:t>Soweit keine individuelle Benachrichtigung durch das Gesetz, börsengesetzliche Bestimmungen oder diese Statuten verlangt wird, gelten sämtliche Mitteilungen an die Aktionäre als gültig erfolgt, wenn sie im Schweizerischen Handelsamtsblatt veröffentlicht worden sind. Einladungen zu Generalversammlungen können stattdessen allein durch Veröffentlichung eines Proxy Statement (oder einer Änderung oder eines Zusatzes dazu) nach den Regeln der SEC erfolgen (wobei Änderungen oder Zusätze zu Einladungen, für die Zwecke dieser Statuten und den Vorschriften des Aktienrechts auch ausschliesslich durch eine Veröffentlichung im Schweizerischen Handelsamtsblatt erfolgen dürfen). Schriftliche Bekanntmachungen der Gesellschaft an die Aktionäre werden auf dem ordentlichen Postweg oder in einer anderen Form, die den Nachweis durch Text ermöglicht, an die letzte im Aktienbuch verzeichnete Adresse des Aktionärs oder des bevollmächtigten Empfängers geschickt. Finanzinstitute, welche Aktien für wirtschaftlich Berechtigte halten und als solches im Aktienbuch eingetragen sind, gelten als bevollmächtigte Empfänger.</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Section 6:</w:t>
      </w:r>
    </w:p>
    <w:p>
      <w:pPr>
        <w:spacing w:after="0" w:line="14" w:lineRule="exact"/>
        <w:rPr>
          <w:sz w:val="20"/>
          <w:szCs w:val="20"/>
          <w:color w:val="auto"/>
        </w:rPr>
      </w:pPr>
    </w:p>
    <w:p>
      <w:pPr>
        <w:ind w:left="1440" w:right="520"/>
        <w:spacing w:after="0" w:line="401" w:lineRule="auto"/>
        <w:rPr>
          <w:sz w:val="20"/>
          <w:szCs w:val="20"/>
          <w:color w:val="auto"/>
        </w:rPr>
      </w:pPr>
      <w:r>
        <w:rPr>
          <w:rFonts w:ascii="Arial" w:cs="Arial" w:eastAsia="Arial" w:hAnsi="Arial"/>
          <w:sz w:val="18"/>
          <w:szCs w:val="18"/>
          <w:i w:val="1"/>
          <w:iCs w:val="1"/>
          <w:color w:val="auto"/>
        </w:rPr>
        <w:t xml:space="preserve">Announcements, Communications </w:t>
      </w:r>
      <w:r>
        <w:rPr>
          <w:rFonts w:ascii="Arial" w:cs="Arial" w:eastAsia="Arial" w:hAnsi="Arial"/>
          <w:sz w:val="18"/>
          <w:szCs w:val="18"/>
          <w:b w:val="1"/>
          <w:bCs w:val="1"/>
          <w:color w:val="auto"/>
        </w:rPr>
        <w:t>Article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876300</wp:posOffset>
            </wp:positionH>
            <wp:positionV relativeFrom="paragraph">
              <wp:posOffset>-274955</wp:posOffset>
            </wp:positionV>
            <wp:extent cx="21513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151380" cy="8890"/>
                    </a:xfrm>
                    <a:prstGeom prst="rect">
                      <a:avLst/>
                    </a:prstGeom>
                    <a:noFill/>
                  </pic:spPr>
                </pic:pic>
              </a:graphicData>
            </a:graphic>
          </wp:anchor>
        </w:drawing>
      </w:r>
    </w:p>
    <w:p>
      <w:pPr>
        <w:spacing w:after="0" w:line="13" w:lineRule="exact"/>
        <w:rPr>
          <w:sz w:val="20"/>
          <w:szCs w:val="20"/>
          <w:color w:val="auto"/>
        </w:rPr>
      </w:pPr>
    </w:p>
    <w:p>
      <w:pPr>
        <w:ind w:right="200"/>
        <w:spacing w:after="0" w:line="183" w:lineRule="auto"/>
        <w:rPr>
          <w:sz w:val="20"/>
          <w:szCs w:val="20"/>
          <w:color w:val="auto"/>
        </w:rPr>
      </w:pPr>
      <w:r>
        <w:rPr>
          <w:rFonts w:ascii="Arial" w:cs="Arial" w:eastAsia="Arial" w:hAnsi="Arial"/>
          <w:sz w:val="24"/>
          <w:szCs w:val="24"/>
          <w:color w:val="auto"/>
          <w:vertAlign w:val="superscript"/>
        </w:rPr>
        <w:t>Announcements, 1</w:t>
      </w:r>
      <w:r>
        <w:rPr>
          <w:rFonts w:ascii="Arial" w:cs="Arial" w:eastAsia="Arial" w:hAnsi="Arial"/>
          <w:sz w:val="16"/>
          <w:szCs w:val="16"/>
          <w:color w:val="auto"/>
        </w:rPr>
        <w:t xml:space="preserve"> The official means of publication of the </w:t>
      </w:r>
      <w:r>
        <w:rPr>
          <w:rFonts w:ascii="Arial" w:cs="Arial" w:eastAsia="Arial" w:hAnsi="Arial"/>
          <w:sz w:val="24"/>
          <w:szCs w:val="24"/>
          <w:color w:val="auto"/>
          <w:vertAlign w:val="superscript"/>
        </w:rPr>
        <w:t>Communications</w:t>
      </w:r>
      <w:r>
        <w:rPr>
          <w:rFonts w:ascii="Arial" w:cs="Arial" w:eastAsia="Arial" w:hAnsi="Arial"/>
          <w:sz w:val="16"/>
          <w:szCs w:val="16"/>
          <w:color w:val="auto"/>
        </w:rPr>
        <w:t xml:space="preserve"> Company shall be the Swiss Official</w:t>
      </w:r>
    </w:p>
    <w:p>
      <w:pPr>
        <w:spacing w:after="0" w:line="2" w:lineRule="exact"/>
        <w:rPr>
          <w:sz w:val="20"/>
          <w:szCs w:val="20"/>
          <w:color w:val="auto"/>
        </w:rPr>
      </w:pPr>
    </w:p>
    <w:p>
      <w:pPr>
        <w:jc w:val="both"/>
        <w:ind w:left="1440" w:right="300"/>
        <w:spacing w:after="0" w:line="242" w:lineRule="auto"/>
        <w:rPr>
          <w:sz w:val="20"/>
          <w:szCs w:val="20"/>
          <w:color w:val="auto"/>
        </w:rPr>
      </w:pPr>
      <w:r>
        <w:rPr>
          <w:rFonts w:ascii="Arial" w:cs="Arial" w:eastAsia="Arial" w:hAnsi="Arial"/>
          <w:sz w:val="18"/>
          <w:szCs w:val="18"/>
          <w:color w:val="auto"/>
        </w:rPr>
        <w:t>Gazette of Commerce. The Board of Directors may specify other means of publication.</w:t>
      </w:r>
    </w:p>
    <w:p>
      <w:pPr>
        <w:spacing w:after="0" w:line="71" w:lineRule="exact"/>
        <w:rPr>
          <w:sz w:val="20"/>
          <w:szCs w:val="20"/>
          <w:color w:val="auto"/>
        </w:rPr>
      </w:pPr>
    </w:p>
    <w:p>
      <w:pPr>
        <w:ind w:left="1440" w:hanging="230"/>
        <w:spacing w:after="0" w:line="231" w:lineRule="auto"/>
        <w:tabs>
          <w:tab w:leader="none" w:pos="1440" w:val="left"/>
        </w:tabs>
        <w:numPr>
          <w:ilvl w:val="0"/>
          <w:numId w:val="196"/>
        </w:numPr>
        <w:rPr>
          <w:rFonts w:ascii="Arial" w:cs="Arial" w:eastAsia="Arial" w:hAnsi="Arial"/>
          <w:sz w:val="29"/>
          <w:szCs w:val="29"/>
          <w:color w:val="auto"/>
          <w:vertAlign w:val="superscript"/>
        </w:rPr>
      </w:pPr>
      <w:r>
        <w:rPr>
          <w:rFonts w:ascii="Arial" w:cs="Arial" w:eastAsia="Arial" w:hAnsi="Arial"/>
          <w:sz w:val="18"/>
          <w:szCs w:val="18"/>
          <w:color w:val="auto"/>
        </w:rPr>
        <w:t>To the extent that individual notification is not required by law, stock exchange regulations or these Articles of Association, all communications to the shareholders shall be deemed valid if published in the Swiss Official Gazette of Commerce. Invitations to General Meetings of Shareholders may also be made solely by way of a publication of a proxy statement (or amendments or supplements thereto) pursuant to SEC Regulations (whereby amendments or supplements to invitations, for purposes of these Articles of Associations and corporate law, may also be made exclusively by way of a publication in the Swiss Official Gazette of Commerce). Written communications by the Company to its shareholders shall be sent by ordinary mail or in another form that allows proof by text to the last address of the shareholder or authorized recipient recorded in the share register. Financial institutions holding Shares for beneficial owners and recorded in such capacity in the share register shall be deemed to be authorized recipients.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-3032125</wp:posOffset>
            </wp:positionH>
            <wp:positionV relativeFrom="paragraph">
              <wp:posOffset>1285240</wp:posOffset>
            </wp:positionV>
            <wp:extent cx="629221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3">
            <w:col w:w="780" w:space="183"/>
            <w:col w:w="3457" w:space="220"/>
            <w:col w:w="4700"/>
          </w:cols>
          <w:pgMar w:left="1220" w:top="670" w:right="1339" w:bottom="1440" w:gutter="0" w:footer="0" w:header="0"/>
          <w:type w:val="continuous"/>
        </w:sectPr>
      </w:pPr>
    </w:p>
    <w:bookmarkStart w:id="48" w:name="page49"/>
    <w:bookmarkEnd w:id="4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40"/>
        <w:spacing w:after="0" w:line="285" w:lineRule="auto"/>
        <w:rPr>
          <w:sz w:val="20"/>
          <w:szCs w:val="20"/>
          <w:color w:val="auto"/>
        </w:rPr>
      </w:pPr>
      <w:r>
        <w:rPr>
          <w:rFonts w:ascii="Arial" w:cs="Arial" w:eastAsia="Arial" w:hAnsi="Arial"/>
          <w:sz w:val="14"/>
          <w:szCs w:val="14"/>
          <w:color w:val="auto"/>
        </w:rPr>
        <w:t>Verbindlicher Originaltext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Abschnitt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-161925</wp:posOffset>
            </wp:positionV>
            <wp:extent cx="226314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ind w:right="1080"/>
        <w:spacing w:after="0" w:line="388" w:lineRule="auto"/>
        <w:rPr>
          <w:sz w:val="20"/>
          <w:szCs w:val="20"/>
          <w:color w:val="auto"/>
        </w:rPr>
      </w:pPr>
      <w:r>
        <w:rPr>
          <w:rFonts w:ascii="Arial" w:cs="Arial" w:eastAsia="Arial" w:hAnsi="Arial"/>
          <w:sz w:val="18"/>
          <w:szCs w:val="18"/>
          <w:i w:val="1"/>
          <w:iCs w:val="1"/>
          <w:color w:val="auto"/>
        </w:rPr>
        <w:t xml:space="preserve">Verbindlicher Originaltext </w:t>
      </w:r>
      <w:r>
        <w:rPr>
          <w:rFonts w:ascii="Arial" w:cs="Arial" w:eastAsia="Arial" w:hAnsi="Arial"/>
          <w:sz w:val="18"/>
          <w:szCs w:val="18"/>
          <w:b w:val="1"/>
          <w:bCs w:val="1"/>
          <w:color w:val="auto"/>
        </w:rPr>
        <w:t>Artikel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-260985</wp:posOffset>
            </wp:positionV>
            <wp:extent cx="226314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262" w:lineRule="auto"/>
        <w:rPr>
          <w:sz w:val="20"/>
          <w:szCs w:val="20"/>
          <w:color w:val="auto"/>
        </w:rPr>
      </w:pPr>
      <w:r>
        <w:rPr>
          <w:rFonts w:ascii="Arial" w:cs="Arial" w:eastAsia="Arial" w:hAnsi="Arial"/>
          <w:sz w:val="18"/>
          <w:szCs w:val="18"/>
          <w:color w:val="auto"/>
        </w:rPr>
        <w:t>Falls sich zwischen der deutschen und englischen Fassung dieser Statuten Differenzen ergeben, hat die deutsche Fassung Vorrang.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466725</wp:posOffset>
            </wp:positionV>
            <wp:extent cx="226314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- 41 -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734695</wp:posOffset>
            </wp:positionH>
            <wp:positionV relativeFrom="paragraph">
              <wp:posOffset>392430</wp:posOffset>
            </wp:positionV>
            <wp:extent cx="228028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040" w:type="dxa"/>
            <w:vAlign w:val="bottom"/>
          </w:tcPr>
          <w:p>
            <w:pPr>
              <w:spacing w:after="0"/>
              <w:rPr>
                <w:sz w:val="17"/>
                <w:szCs w:val="17"/>
                <w:color w:val="auto"/>
              </w:rPr>
            </w:pPr>
          </w:p>
        </w:tc>
        <w:tc>
          <w:tcPr>
            <w:tcW w:w="3580" w:type="dxa"/>
            <w:vAlign w:val="bottom"/>
          </w:tcPr>
          <w:p>
            <w:pPr>
              <w:ind w:left="60"/>
              <w:spacing w:after="0"/>
              <w:rPr>
                <w:sz w:val="20"/>
                <w:szCs w:val="20"/>
                <w:color w:val="auto"/>
              </w:rPr>
            </w:pPr>
            <w:r>
              <w:rPr>
                <w:rFonts w:ascii="Arial" w:cs="Arial" w:eastAsia="Arial" w:hAnsi="Arial"/>
                <w:sz w:val="18"/>
                <w:szCs w:val="18"/>
                <w:b w:val="1"/>
                <w:bCs w:val="1"/>
                <w:color w:val="auto"/>
              </w:rPr>
              <w:t>Section 7:</w:t>
            </w:r>
          </w:p>
        </w:tc>
      </w:tr>
      <w:tr>
        <w:trPr>
          <w:trHeight w:val="237"/>
        </w:trPr>
        <w:tc>
          <w:tcPr>
            <w:tcW w:w="1040" w:type="dxa"/>
            <w:vAlign w:val="bottom"/>
          </w:tcPr>
          <w:p>
            <w:pPr>
              <w:spacing w:after="0"/>
              <w:rPr>
                <w:sz w:val="20"/>
                <w:szCs w:val="20"/>
                <w:color w:val="auto"/>
              </w:rPr>
            </w:pPr>
          </w:p>
        </w:tc>
        <w:tc>
          <w:tcPr>
            <w:tcW w:w="3580" w:type="dxa"/>
            <w:vAlign w:val="bottom"/>
          </w:tcPr>
          <w:p>
            <w:pPr>
              <w:ind w:left="60"/>
              <w:spacing w:after="0"/>
              <w:rPr>
                <w:sz w:val="20"/>
                <w:szCs w:val="20"/>
                <w:color w:val="auto"/>
              </w:rPr>
            </w:pPr>
            <w:r>
              <w:rPr>
                <w:rFonts w:ascii="Arial" w:cs="Arial" w:eastAsia="Arial" w:hAnsi="Arial"/>
                <w:sz w:val="18"/>
                <w:szCs w:val="18"/>
                <w:i w:val="1"/>
                <w:iCs w:val="1"/>
                <w:color w:val="auto"/>
              </w:rPr>
              <w:t>Original Language</w:t>
            </w:r>
          </w:p>
        </w:tc>
      </w:tr>
      <w:tr>
        <w:trPr>
          <w:trHeight w:val="37"/>
        </w:trPr>
        <w:tc>
          <w:tcPr>
            <w:tcW w:w="1040" w:type="dxa"/>
            <w:vAlign w:val="bottom"/>
          </w:tcPr>
          <w:p>
            <w:pPr>
              <w:spacing w:after="0"/>
              <w:rPr>
                <w:sz w:val="3"/>
                <w:szCs w:val="3"/>
                <w:color w:val="auto"/>
              </w:rPr>
            </w:pPr>
          </w:p>
        </w:tc>
        <w:tc>
          <w:tcPr>
            <w:tcW w:w="3580" w:type="dxa"/>
            <w:vAlign w:val="bottom"/>
            <w:tcBorders>
              <w:bottom w:val="single" w:sz="8" w:color="auto"/>
            </w:tcBorders>
          </w:tcPr>
          <w:p>
            <w:pPr>
              <w:spacing w:after="0"/>
              <w:rPr>
                <w:sz w:val="3"/>
                <w:szCs w:val="3"/>
                <w:color w:val="auto"/>
              </w:rPr>
            </w:pPr>
          </w:p>
        </w:tc>
      </w:tr>
      <w:tr>
        <w:trPr>
          <w:trHeight w:val="275"/>
        </w:trPr>
        <w:tc>
          <w:tcPr>
            <w:tcW w:w="1040" w:type="dxa"/>
            <w:vAlign w:val="bottom"/>
          </w:tcPr>
          <w:p>
            <w:pPr>
              <w:spacing w:after="0"/>
              <w:rPr>
                <w:sz w:val="23"/>
                <w:szCs w:val="23"/>
                <w:color w:val="auto"/>
              </w:rPr>
            </w:pPr>
          </w:p>
        </w:tc>
        <w:tc>
          <w:tcPr>
            <w:tcW w:w="3580" w:type="dxa"/>
            <w:vAlign w:val="bottom"/>
          </w:tcPr>
          <w:p>
            <w:pPr>
              <w:ind w:left="60"/>
              <w:spacing w:after="0"/>
              <w:rPr>
                <w:sz w:val="20"/>
                <w:szCs w:val="20"/>
                <w:color w:val="auto"/>
              </w:rPr>
            </w:pPr>
            <w:r>
              <w:rPr>
                <w:rFonts w:ascii="Arial" w:cs="Arial" w:eastAsia="Arial" w:hAnsi="Arial"/>
                <w:sz w:val="18"/>
                <w:szCs w:val="18"/>
                <w:b w:val="1"/>
                <w:bCs w:val="1"/>
                <w:color w:val="auto"/>
              </w:rPr>
              <w:t>Article 34</w:t>
            </w:r>
          </w:p>
        </w:tc>
      </w:tr>
      <w:tr>
        <w:trPr>
          <w:trHeight w:val="334"/>
        </w:trPr>
        <w:tc>
          <w:tcPr>
            <w:tcW w:w="1040" w:type="dxa"/>
            <w:vAlign w:val="bottom"/>
          </w:tcPr>
          <w:p>
            <w:pPr>
              <w:spacing w:after="0"/>
              <w:rPr>
                <w:sz w:val="20"/>
                <w:szCs w:val="20"/>
                <w:color w:val="auto"/>
              </w:rPr>
            </w:pPr>
            <w:r>
              <w:rPr>
                <w:rFonts w:ascii="Arial" w:cs="Arial" w:eastAsia="Arial" w:hAnsi="Arial"/>
                <w:sz w:val="14"/>
                <w:szCs w:val="14"/>
                <w:color w:val="auto"/>
              </w:rPr>
              <w:t>Original</w:t>
            </w:r>
          </w:p>
        </w:tc>
        <w:tc>
          <w:tcPr>
            <w:tcW w:w="3580" w:type="dxa"/>
            <w:vAlign w:val="bottom"/>
          </w:tcPr>
          <w:p>
            <w:pPr>
              <w:ind w:left="60"/>
              <w:spacing w:after="0"/>
              <w:rPr>
                <w:sz w:val="20"/>
                <w:szCs w:val="20"/>
                <w:color w:val="auto"/>
              </w:rPr>
            </w:pPr>
            <w:r>
              <w:rPr>
                <w:rFonts w:ascii="Arial" w:cs="Arial" w:eastAsia="Arial" w:hAnsi="Arial"/>
                <w:sz w:val="18"/>
                <w:szCs w:val="18"/>
                <w:color w:val="auto"/>
              </w:rPr>
              <w:t>In the event of deviations between the</w:t>
            </w:r>
          </w:p>
        </w:tc>
      </w:tr>
      <w:tr>
        <w:trPr>
          <w:trHeight w:val="216"/>
        </w:trPr>
        <w:tc>
          <w:tcPr>
            <w:tcW w:w="1040" w:type="dxa"/>
            <w:vAlign w:val="bottom"/>
          </w:tcPr>
          <w:p>
            <w:pPr>
              <w:spacing w:after="0"/>
              <w:rPr>
                <w:sz w:val="20"/>
                <w:szCs w:val="20"/>
                <w:color w:val="auto"/>
              </w:rPr>
            </w:pPr>
            <w:r>
              <w:rPr>
                <w:rFonts w:ascii="Arial" w:cs="Arial" w:eastAsia="Arial" w:hAnsi="Arial"/>
                <w:sz w:val="14"/>
                <w:szCs w:val="14"/>
                <w:color w:val="auto"/>
              </w:rPr>
              <w:t>Language</w:t>
            </w:r>
          </w:p>
        </w:tc>
        <w:tc>
          <w:tcPr>
            <w:tcW w:w="3580" w:type="dxa"/>
            <w:vAlign w:val="bottom"/>
          </w:tcPr>
          <w:p>
            <w:pPr>
              <w:ind w:left="60"/>
              <w:spacing w:after="0"/>
              <w:rPr>
                <w:sz w:val="20"/>
                <w:szCs w:val="20"/>
                <w:color w:val="auto"/>
              </w:rPr>
            </w:pPr>
            <w:r>
              <w:rPr>
                <w:rFonts w:ascii="Arial" w:cs="Arial" w:eastAsia="Arial" w:hAnsi="Arial"/>
                <w:sz w:val="18"/>
                <w:szCs w:val="18"/>
                <w:color w:val="auto"/>
              </w:rPr>
              <w:t>German and English version of these</w:t>
            </w:r>
          </w:p>
        </w:tc>
      </w:tr>
      <w:tr>
        <w:trPr>
          <w:trHeight w:val="216"/>
        </w:trPr>
        <w:tc>
          <w:tcPr>
            <w:tcW w:w="1040" w:type="dxa"/>
            <w:vAlign w:val="bottom"/>
          </w:tcPr>
          <w:p>
            <w:pPr>
              <w:spacing w:after="0"/>
              <w:rPr>
                <w:sz w:val="18"/>
                <w:szCs w:val="18"/>
                <w:color w:val="auto"/>
              </w:rPr>
            </w:pPr>
          </w:p>
        </w:tc>
        <w:tc>
          <w:tcPr>
            <w:tcW w:w="3580" w:type="dxa"/>
            <w:vAlign w:val="bottom"/>
          </w:tcPr>
          <w:p>
            <w:pPr>
              <w:ind w:left="60"/>
              <w:spacing w:after="0"/>
              <w:rPr>
                <w:sz w:val="20"/>
                <w:szCs w:val="20"/>
                <w:color w:val="auto"/>
              </w:rPr>
            </w:pPr>
            <w:r>
              <w:rPr>
                <w:rFonts w:ascii="Arial" w:cs="Arial" w:eastAsia="Arial" w:hAnsi="Arial"/>
                <w:sz w:val="18"/>
                <w:szCs w:val="18"/>
                <w:color w:val="auto"/>
              </w:rPr>
              <w:t>Articles of Association, the German text</w:t>
            </w:r>
          </w:p>
        </w:tc>
      </w:tr>
      <w:tr>
        <w:trPr>
          <w:trHeight w:val="239"/>
        </w:trPr>
        <w:tc>
          <w:tcPr>
            <w:tcW w:w="1040" w:type="dxa"/>
            <w:vAlign w:val="bottom"/>
          </w:tcPr>
          <w:p>
            <w:pPr>
              <w:spacing w:after="0"/>
              <w:rPr>
                <w:sz w:val="20"/>
                <w:szCs w:val="20"/>
                <w:color w:val="auto"/>
              </w:rPr>
            </w:pPr>
          </w:p>
        </w:tc>
        <w:tc>
          <w:tcPr>
            <w:tcW w:w="3580" w:type="dxa"/>
            <w:vAlign w:val="bottom"/>
          </w:tcPr>
          <w:p>
            <w:pPr>
              <w:ind w:left="60"/>
              <w:spacing w:after="0"/>
              <w:rPr>
                <w:sz w:val="20"/>
                <w:szCs w:val="20"/>
                <w:color w:val="auto"/>
              </w:rPr>
            </w:pPr>
            <w:r>
              <w:rPr>
                <w:rFonts w:ascii="Arial" w:cs="Arial" w:eastAsia="Arial" w:hAnsi="Arial"/>
                <w:sz w:val="18"/>
                <w:szCs w:val="18"/>
                <w:color w:val="auto"/>
              </w:rPr>
              <w:t>shall prevail.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734695</wp:posOffset>
            </wp:positionH>
            <wp:positionV relativeFrom="paragraph">
              <wp:posOffset>477520</wp:posOffset>
            </wp:positionV>
            <wp:extent cx="228028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216" w:lineRule="exact"/>
        <w:rPr>
          <w:sz w:val="20"/>
          <w:szCs w:val="20"/>
          <w:color w:val="auto"/>
        </w:rPr>
      </w:pPr>
    </w:p>
    <w:p>
      <w:pPr>
        <w:sectPr>
          <w:pgSz w:w="11900" w:h="16838" w:orient="portrait"/>
          <w:cols w:equalWidth="0" w:num="3">
            <w:col w:w="960" w:space="380"/>
            <w:col w:w="3080" w:space="380"/>
            <w:col w:w="5120"/>
          </w:cols>
          <w:pgMar w:left="1080" w:top="670" w:right="899" w:bottom="1440" w:gutter="0" w:footer="0" w:header="0"/>
        </w:sectPr>
      </w:pPr>
    </w:p>
    <w:p>
      <w:pPr>
        <w:spacing w:after="0" w:line="200" w:lineRule="exact"/>
        <w:rPr>
          <w:sz w:val="20"/>
          <w:szCs w:val="20"/>
          <w:color w:val="auto"/>
        </w:rPr>
      </w:pPr>
    </w:p>
    <w:p>
      <w:pPr>
        <w:spacing w:after="0" w:line="384" w:lineRule="exact"/>
        <w:rPr>
          <w:sz w:val="20"/>
          <w:szCs w:val="20"/>
          <w:color w:val="auto"/>
        </w:rPr>
      </w:pPr>
    </w:p>
    <w:p>
      <w:pPr>
        <w:ind w:left="1340"/>
        <w:spacing w:after="0"/>
        <w:rPr>
          <w:sz w:val="20"/>
          <w:szCs w:val="20"/>
          <w:color w:val="auto"/>
        </w:rPr>
      </w:pPr>
      <w:r>
        <w:rPr>
          <w:rFonts w:ascii="Arial" w:cs="Arial" w:eastAsia="Arial" w:hAnsi="Arial"/>
          <w:sz w:val="17"/>
          <w:szCs w:val="17"/>
          <w:b w:val="1"/>
          <w:bCs w:val="1"/>
          <w:color w:val="auto"/>
        </w:rPr>
        <w:t>Abschnitt 8:</w:t>
      </w:r>
    </w:p>
    <w:p>
      <w:pPr>
        <w:spacing w:after="0" w:line="25" w:lineRule="exact"/>
        <w:rPr>
          <w:sz w:val="20"/>
          <w:szCs w:val="20"/>
          <w:color w:val="auto"/>
        </w:rPr>
      </w:pPr>
    </w:p>
    <w:p>
      <w:pPr>
        <w:ind w:left="1340"/>
        <w:spacing w:after="0"/>
        <w:rPr>
          <w:sz w:val="20"/>
          <w:szCs w:val="20"/>
          <w:color w:val="auto"/>
        </w:rPr>
      </w:pPr>
      <w:r>
        <w:rPr>
          <w:rFonts w:ascii="Arial" w:cs="Arial" w:eastAsia="Arial" w:hAnsi="Arial"/>
          <w:sz w:val="18"/>
          <w:szCs w:val="18"/>
          <w:i w:val="1"/>
          <w:iCs w:val="1"/>
          <w:color w:val="auto"/>
        </w:rPr>
        <w:t>Definitionen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816610</wp:posOffset>
            </wp:positionH>
            <wp:positionV relativeFrom="paragraph">
              <wp:posOffset>31750</wp:posOffset>
            </wp:positionV>
            <wp:extent cx="226314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79"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Artikel 35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8:</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31750</wp:posOffset>
            </wp:positionV>
            <wp:extent cx="228028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35</w:t>
      </w:r>
    </w:p>
    <w:p>
      <w:pPr>
        <w:spacing w:after="0" w:line="158" w:lineRule="exact"/>
        <w:rPr>
          <w:sz w:val="20"/>
          <w:szCs w:val="20"/>
          <w:color w:val="auto"/>
        </w:rPr>
      </w:pPr>
    </w:p>
    <w:p>
      <w:pPr>
        <w:sectPr>
          <w:pgSz w:w="11900" w:h="16838" w:orient="portrait"/>
          <w:cols w:equalWidth="0" w:num="2">
            <w:col w:w="5300" w:space="720"/>
            <w:col w:w="3900"/>
          </w:cols>
          <w:pgMar w:left="1080" w:top="670" w:right="89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1000" w:type="dxa"/>
            <w:vAlign w:val="bottom"/>
          </w:tcPr>
          <w:p>
            <w:pPr>
              <w:ind w:left="140"/>
              <w:spacing w:after="0"/>
              <w:rPr>
                <w:sz w:val="20"/>
                <w:szCs w:val="20"/>
                <w:color w:val="auto"/>
              </w:rPr>
            </w:pPr>
            <w:r>
              <w:rPr>
                <w:rFonts w:ascii="Arial" w:cs="Arial" w:eastAsia="Arial" w:hAnsi="Arial"/>
                <w:sz w:val="14"/>
                <w:szCs w:val="14"/>
                <w:color w:val="auto"/>
              </w:rPr>
              <w:t>Aktie(n)</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3560" w:type="dxa"/>
            <w:vAlign w:val="bottom"/>
          </w:tcPr>
          <w:p>
            <w:pPr>
              <w:ind w:left="60"/>
              <w:spacing w:after="0"/>
              <w:rPr>
                <w:sz w:val="20"/>
                <w:szCs w:val="20"/>
                <w:color w:val="auto"/>
              </w:rPr>
            </w:pPr>
            <w:r>
              <w:rPr>
                <w:rFonts w:ascii="Arial" w:cs="Arial" w:eastAsia="Arial" w:hAnsi="Arial"/>
                <w:sz w:val="18"/>
                <w:szCs w:val="18"/>
                <w:color w:val="auto"/>
              </w:rPr>
              <w:t xml:space="preserve">Der Begriff </w:t>
            </w:r>
            <w:r>
              <w:rPr>
                <w:rFonts w:ascii="Arial" w:cs="Arial" w:eastAsia="Arial" w:hAnsi="Arial"/>
                <w:sz w:val="18"/>
                <w:szCs w:val="18"/>
                <w:b w:val="1"/>
                <w:bCs w:val="1"/>
                <w:color w:val="auto"/>
              </w:rPr>
              <w:t>Aktie(n)</w:t>
            </w:r>
            <w:r>
              <w:rPr>
                <w:rFonts w:ascii="Arial" w:cs="Arial" w:eastAsia="Arial" w:hAnsi="Arial"/>
                <w:sz w:val="18"/>
                <w:szCs w:val="18"/>
                <w:color w:val="auto"/>
              </w:rPr>
              <w:t xml:space="preserve"> hat die in Artikel 4</w:t>
            </w:r>
          </w:p>
        </w:tc>
        <w:tc>
          <w:tcPr>
            <w:tcW w:w="780" w:type="dxa"/>
            <w:vAlign w:val="bottom"/>
          </w:tcPr>
          <w:p>
            <w:pPr>
              <w:ind w:left="80"/>
              <w:spacing w:after="0"/>
              <w:rPr>
                <w:sz w:val="20"/>
                <w:szCs w:val="20"/>
                <w:color w:val="auto"/>
              </w:rPr>
            </w:pPr>
            <w:r>
              <w:rPr>
                <w:rFonts w:ascii="Arial" w:cs="Arial" w:eastAsia="Arial" w:hAnsi="Arial"/>
                <w:sz w:val="14"/>
                <w:szCs w:val="14"/>
                <w:color w:val="auto"/>
              </w:rPr>
              <w:t>Share(s)</w:t>
            </w:r>
          </w:p>
        </w:tc>
        <w:tc>
          <w:tcPr>
            <w:tcW w:w="32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3980" w:type="dxa"/>
            <w:vAlign w:val="bottom"/>
          </w:tcPr>
          <w:p>
            <w:pPr>
              <w:ind w:left="80"/>
              <w:spacing w:after="0"/>
              <w:rPr>
                <w:sz w:val="20"/>
                <w:szCs w:val="20"/>
                <w:color w:val="auto"/>
              </w:rPr>
            </w:pPr>
            <w:r>
              <w:rPr>
                <w:rFonts w:ascii="Arial" w:cs="Arial" w:eastAsia="Arial" w:hAnsi="Arial"/>
                <w:sz w:val="18"/>
                <w:szCs w:val="18"/>
                <w:color w:val="auto"/>
              </w:rPr>
              <w:t xml:space="preserve">The term </w:t>
            </w:r>
            <w:r>
              <w:rPr>
                <w:rFonts w:ascii="Arial" w:cs="Arial" w:eastAsia="Arial" w:hAnsi="Arial"/>
                <w:sz w:val="18"/>
                <w:szCs w:val="18"/>
                <w:b w:val="1"/>
                <w:bCs w:val="1"/>
                <w:color w:val="auto"/>
              </w:rPr>
              <w:t>Share(s)</w:t>
            </w:r>
            <w:r>
              <w:rPr>
                <w:rFonts w:ascii="Arial" w:cs="Arial" w:eastAsia="Arial" w:hAnsi="Arial"/>
                <w:sz w:val="18"/>
                <w:szCs w:val="18"/>
                <w:color w:val="auto"/>
              </w:rPr>
              <w:t xml:space="preserve"> has the meaning</w:t>
            </w:r>
          </w:p>
        </w:tc>
      </w:tr>
      <w:tr>
        <w:trPr>
          <w:trHeight w:val="216"/>
        </w:trPr>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auto"/>
              </w:rPr>
              <w:t>dieser Statuten aufgeführte Bedeutung.</w:t>
            </w: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980" w:type="dxa"/>
            <w:vAlign w:val="bottom"/>
          </w:tcPr>
          <w:p>
            <w:pPr>
              <w:ind w:left="80"/>
              <w:spacing w:after="0"/>
              <w:rPr>
                <w:sz w:val="20"/>
                <w:szCs w:val="20"/>
                <w:color w:val="auto"/>
              </w:rPr>
            </w:pPr>
            <w:r>
              <w:rPr>
                <w:rFonts w:ascii="Arial" w:cs="Arial" w:eastAsia="Arial" w:hAnsi="Arial"/>
                <w:sz w:val="18"/>
                <w:szCs w:val="18"/>
                <w:color w:val="auto"/>
              </w:rPr>
              <w:t>assigned to it in Article 4 of these Articles</w:t>
            </w:r>
          </w:p>
        </w:tc>
      </w:tr>
      <w:tr>
        <w:trPr>
          <w:trHeight w:val="239"/>
        </w:trPr>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980" w:type="dxa"/>
            <w:vAlign w:val="bottom"/>
          </w:tcPr>
          <w:p>
            <w:pPr>
              <w:ind w:left="80"/>
              <w:spacing w:after="0"/>
              <w:rPr>
                <w:sz w:val="20"/>
                <w:szCs w:val="20"/>
                <w:color w:val="auto"/>
              </w:rPr>
            </w:pPr>
            <w:r>
              <w:rPr>
                <w:rFonts w:ascii="Arial" w:cs="Arial" w:eastAsia="Arial" w:hAnsi="Arial"/>
                <w:sz w:val="18"/>
                <w:szCs w:val="18"/>
                <w:color w:val="auto"/>
              </w:rPr>
              <w:t>of Association.</w:t>
            </w:r>
          </w:p>
        </w:tc>
      </w:tr>
      <w:tr>
        <w:trPr>
          <w:trHeight w:val="517"/>
        </w:trPr>
        <w:tc>
          <w:tcPr>
            <w:tcW w:w="1000" w:type="dxa"/>
            <w:vAlign w:val="bottom"/>
          </w:tcPr>
          <w:p>
            <w:pPr>
              <w:ind w:left="140"/>
              <w:spacing w:after="0"/>
              <w:rPr>
                <w:sz w:val="20"/>
                <w:szCs w:val="20"/>
                <w:color w:val="auto"/>
              </w:rPr>
            </w:pPr>
            <w:r>
              <w:rPr>
                <w:rFonts w:ascii="Arial" w:cs="Arial" w:eastAsia="Arial" w:hAnsi="Arial"/>
                <w:sz w:val="14"/>
                <w:szCs w:val="14"/>
                <w:color w:val="auto"/>
              </w:rPr>
              <w:t>Eigentümer</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3560" w:type="dxa"/>
            <w:vAlign w:val="bottom"/>
          </w:tcPr>
          <w:p>
            <w:pPr>
              <w:ind w:left="60"/>
              <w:spacing w:after="0"/>
              <w:rPr>
                <w:sz w:val="20"/>
                <w:szCs w:val="20"/>
                <w:color w:val="auto"/>
              </w:rPr>
            </w:pPr>
            <w:r>
              <w:rPr>
                <w:rFonts w:ascii="Arial" w:cs="Arial" w:eastAsia="Arial" w:hAnsi="Arial"/>
                <w:sz w:val="18"/>
                <w:szCs w:val="18"/>
                <w:b w:val="1"/>
                <w:bCs w:val="1"/>
                <w:color w:val="auto"/>
              </w:rPr>
              <w:t>Eigentümer(in)</w:t>
            </w:r>
            <w:r>
              <w:rPr>
                <w:rFonts w:ascii="Arial" w:cs="Arial" w:eastAsia="Arial" w:hAnsi="Arial"/>
                <w:sz w:val="18"/>
                <w:szCs w:val="18"/>
                <w:color w:val="auto"/>
              </w:rPr>
              <w:t>, unter Einschluss der</w:t>
            </w:r>
          </w:p>
        </w:tc>
        <w:tc>
          <w:tcPr>
            <w:tcW w:w="780" w:type="dxa"/>
            <w:vAlign w:val="bottom"/>
          </w:tcPr>
          <w:p>
            <w:pPr>
              <w:ind w:left="80"/>
              <w:spacing w:after="0"/>
              <w:rPr>
                <w:sz w:val="20"/>
                <w:szCs w:val="20"/>
                <w:color w:val="auto"/>
              </w:rPr>
            </w:pPr>
            <w:r>
              <w:rPr>
                <w:rFonts w:ascii="Arial" w:cs="Arial" w:eastAsia="Arial" w:hAnsi="Arial"/>
                <w:sz w:val="14"/>
                <w:szCs w:val="14"/>
                <w:color w:val="auto"/>
              </w:rPr>
              <w:t>Owner</w:t>
            </w:r>
          </w:p>
        </w:tc>
        <w:tc>
          <w:tcPr>
            <w:tcW w:w="32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3980" w:type="dxa"/>
            <w:vAlign w:val="bottom"/>
          </w:tcPr>
          <w:p>
            <w:pPr>
              <w:ind w:left="80"/>
              <w:spacing w:after="0"/>
              <w:rPr>
                <w:sz w:val="20"/>
                <w:szCs w:val="20"/>
                <w:color w:val="auto"/>
              </w:rPr>
            </w:pPr>
            <w:r>
              <w:rPr>
                <w:rFonts w:ascii="Arial" w:cs="Arial" w:eastAsia="Arial" w:hAnsi="Arial"/>
                <w:sz w:val="18"/>
                <w:szCs w:val="18"/>
                <w:b w:val="1"/>
                <w:bCs w:val="1"/>
                <w:color w:val="auto"/>
              </w:rPr>
              <w:t>Owner</w:t>
            </w:r>
            <w:r>
              <w:rPr>
                <w:rFonts w:ascii="Arial" w:cs="Arial" w:eastAsia="Arial" w:hAnsi="Arial"/>
                <w:sz w:val="18"/>
                <w:szCs w:val="18"/>
                <w:color w:val="auto"/>
              </w:rPr>
              <w:t>, including the terms</w:t>
            </w:r>
            <w:r>
              <w:rPr>
                <w:rFonts w:ascii="Arial" w:cs="Arial" w:eastAsia="Arial" w:hAnsi="Arial"/>
                <w:sz w:val="18"/>
                <w:szCs w:val="18"/>
                <w:b w:val="1"/>
                <w:bCs w:val="1"/>
                <w:color w:val="auto"/>
              </w:rPr>
              <w:t xml:space="preserve"> Own</w:t>
            </w:r>
            <w:r>
              <w:rPr>
                <w:rFonts w:ascii="Arial" w:cs="Arial" w:eastAsia="Arial" w:hAnsi="Arial"/>
                <w:sz w:val="18"/>
                <w:szCs w:val="18"/>
                <w:color w:val="auto"/>
              </w:rPr>
              <w:t>,</w:t>
            </w:r>
            <w:r>
              <w:rPr>
                <w:rFonts w:ascii="Arial" w:cs="Arial" w:eastAsia="Arial" w:hAnsi="Arial"/>
                <w:sz w:val="18"/>
                <w:szCs w:val="18"/>
                <w:b w:val="1"/>
                <w:bCs w:val="1"/>
                <w:color w:val="auto"/>
              </w:rPr>
              <w:t xml:space="preserve"> Owned</w:t>
            </w:r>
          </w:p>
        </w:tc>
      </w:tr>
      <w:tr>
        <w:trPr>
          <w:trHeight w:val="216"/>
        </w:trPr>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auto"/>
              </w:rPr>
              <w:t xml:space="preserve">Begriffe </w:t>
            </w:r>
            <w:r>
              <w:rPr>
                <w:rFonts w:ascii="Arial" w:cs="Arial" w:eastAsia="Arial" w:hAnsi="Arial"/>
                <w:sz w:val="18"/>
                <w:szCs w:val="18"/>
                <w:b w:val="1"/>
                <w:bCs w:val="1"/>
                <w:color w:val="auto"/>
              </w:rPr>
              <w:t>Eigentum</w:t>
            </w:r>
            <w:r>
              <w:rPr>
                <w:rFonts w:ascii="Arial" w:cs="Arial" w:eastAsia="Arial" w:hAnsi="Arial"/>
                <w:sz w:val="18"/>
                <w:szCs w:val="18"/>
                <w:color w:val="auto"/>
              </w:rPr>
              <w:t xml:space="preserve">, </w:t>
            </w:r>
            <w:r>
              <w:rPr>
                <w:rFonts w:ascii="Arial" w:cs="Arial" w:eastAsia="Arial" w:hAnsi="Arial"/>
                <w:sz w:val="18"/>
                <w:szCs w:val="18"/>
                <w:b w:val="1"/>
                <w:bCs w:val="1"/>
                <w:color w:val="auto"/>
              </w:rPr>
              <w:t>halten</w:t>
            </w:r>
            <w:r>
              <w:rPr>
                <w:rFonts w:ascii="Arial" w:cs="Arial" w:eastAsia="Arial" w:hAnsi="Arial"/>
                <w:sz w:val="18"/>
                <w:szCs w:val="18"/>
                <w:color w:val="auto"/>
              </w:rPr>
              <w:t xml:space="preserve">, </w:t>
            </w:r>
            <w:r>
              <w:rPr>
                <w:rFonts w:ascii="Arial" w:cs="Arial" w:eastAsia="Arial" w:hAnsi="Arial"/>
                <w:sz w:val="18"/>
                <w:szCs w:val="18"/>
                <w:b w:val="1"/>
                <w:bCs w:val="1"/>
                <w:color w:val="auto"/>
              </w:rPr>
              <w:t>gehalten</w:t>
            </w: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980" w:type="dxa"/>
            <w:vAlign w:val="bottom"/>
          </w:tcPr>
          <w:p>
            <w:pPr>
              <w:ind w:left="80"/>
              <w:spacing w:after="0"/>
              <w:rPr>
                <w:sz w:val="20"/>
                <w:szCs w:val="20"/>
                <w:color w:val="auto"/>
              </w:rPr>
            </w:pPr>
            <w:r>
              <w:rPr>
                <w:rFonts w:ascii="Arial" w:cs="Arial" w:eastAsia="Arial" w:hAnsi="Arial"/>
                <w:sz w:val="18"/>
                <w:szCs w:val="18"/>
                <w:color w:val="auto"/>
              </w:rPr>
              <w:t xml:space="preserve">and </w:t>
            </w:r>
            <w:r>
              <w:rPr>
                <w:rFonts w:ascii="Arial" w:cs="Arial" w:eastAsia="Arial" w:hAnsi="Arial"/>
                <w:sz w:val="18"/>
                <w:szCs w:val="18"/>
                <w:b w:val="1"/>
                <w:bCs w:val="1"/>
                <w:color w:val="auto"/>
              </w:rPr>
              <w:t>Ownership</w:t>
            </w:r>
            <w:r>
              <w:rPr>
                <w:rFonts w:ascii="Arial" w:cs="Arial" w:eastAsia="Arial" w:hAnsi="Arial"/>
                <w:sz w:val="18"/>
                <w:szCs w:val="18"/>
                <w:color w:val="auto"/>
              </w:rPr>
              <w:t xml:space="preserve"> when used with respect to</w:t>
            </w:r>
          </w:p>
        </w:tc>
      </w:tr>
      <w:tr>
        <w:trPr>
          <w:trHeight w:val="216"/>
        </w:trPr>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560" w:type="dxa"/>
            <w:vAlign w:val="bottom"/>
          </w:tcPr>
          <w:p>
            <w:pPr>
              <w:ind w:left="60"/>
              <w:spacing w:after="0"/>
              <w:rPr>
                <w:sz w:val="20"/>
                <w:szCs w:val="20"/>
                <w:color w:val="auto"/>
              </w:rPr>
            </w:pPr>
            <w:r>
              <w:rPr>
                <w:rFonts w:ascii="Arial" w:cs="Arial" w:eastAsia="Arial" w:hAnsi="Arial"/>
                <w:sz w:val="18"/>
                <w:szCs w:val="18"/>
                <w:b w:val="1"/>
                <w:bCs w:val="1"/>
                <w:color w:val="auto"/>
              </w:rPr>
              <w:t xml:space="preserve">Eigentümerschaft </w:t>
            </w:r>
            <w:r>
              <w:rPr>
                <w:rFonts w:ascii="Arial" w:cs="Arial" w:eastAsia="Arial" w:hAnsi="Arial"/>
                <w:sz w:val="18"/>
                <w:szCs w:val="18"/>
                <w:color w:val="auto"/>
              </w:rPr>
              <w:t>oder ähnlicher Begriffe,</w:t>
            </w: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980" w:type="dxa"/>
            <w:vAlign w:val="bottom"/>
          </w:tcPr>
          <w:p>
            <w:pPr>
              <w:ind w:left="80"/>
              <w:spacing w:after="0"/>
              <w:rPr>
                <w:sz w:val="20"/>
                <w:szCs w:val="20"/>
                <w:color w:val="auto"/>
              </w:rPr>
            </w:pPr>
            <w:r>
              <w:rPr>
                <w:rFonts w:ascii="Arial" w:cs="Arial" w:eastAsia="Arial" w:hAnsi="Arial"/>
                <w:sz w:val="18"/>
                <w:szCs w:val="18"/>
                <w:color w:val="auto"/>
              </w:rPr>
              <w:t>any Shares means a Person that</w:t>
            </w:r>
          </w:p>
        </w:tc>
      </w:tr>
      <w:tr>
        <w:trPr>
          <w:trHeight w:val="216"/>
        </w:trPr>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auto"/>
              </w:rPr>
              <w:t>bedeutet, wenn verwendet mit Bezug auf</w:t>
            </w: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980" w:type="dxa"/>
            <w:vAlign w:val="bottom"/>
          </w:tcPr>
          <w:p>
            <w:pPr>
              <w:ind w:left="80"/>
              <w:spacing w:after="0"/>
              <w:rPr>
                <w:sz w:val="20"/>
                <w:szCs w:val="20"/>
                <w:color w:val="auto"/>
              </w:rPr>
            </w:pPr>
            <w:r>
              <w:rPr>
                <w:rFonts w:ascii="Arial" w:cs="Arial" w:eastAsia="Arial" w:hAnsi="Arial"/>
                <w:sz w:val="18"/>
                <w:szCs w:val="18"/>
                <w:color w:val="auto"/>
              </w:rPr>
              <w:t>individually or with or through any of its</w:t>
            </w:r>
          </w:p>
        </w:tc>
      </w:tr>
      <w:tr>
        <w:trPr>
          <w:trHeight w:val="216"/>
        </w:trPr>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auto"/>
              </w:rPr>
              <w:t>Aktien, jede Person, welche allein oder</w:t>
            </w: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980" w:type="dxa"/>
            <w:vAlign w:val="bottom"/>
          </w:tcPr>
          <w:p>
            <w:pPr>
              <w:ind w:left="80"/>
              <w:spacing w:after="0"/>
              <w:rPr>
                <w:sz w:val="20"/>
                <w:szCs w:val="20"/>
                <w:color w:val="auto"/>
              </w:rPr>
            </w:pPr>
            <w:r>
              <w:rPr>
                <w:rFonts w:ascii="Arial" w:cs="Arial" w:eastAsia="Arial" w:hAnsi="Arial"/>
                <w:sz w:val="18"/>
                <w:szCs w:val="18"/>
                <w:color w:val="auto"/>
              </w:rPr>
              <w:t>Affiliates or Associates:</w:t>
            </w:r>
          </w:p>
        </w:tc>
      </w:tr>
      <w:tr>
        <w:trPr>
          <w:trHeight w:val="216"/>
        </w:trPr>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auto"/>
              </w:rPr>
              <w:t>zusammen mit oder über Nahestehende</w:t>
            </w: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auto"/>
              </w:rPr>
              <w:t>Gesellschaften oder Nahestehende</w:t>
            </w: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980" w:type="dxa"/>
            <w:vAlign w:val="bottom"/>
          </w:tcPr>
          <w:p>
            <w:pPr>
              <w:spacing w:after="0"/>
              <w:rPr>
                <w:sz w:val="18"/>
                <w:szCs w:val="18"/>
                <w:color w:val="auto"/>
              </w:rPr>
            </w:pPr>
          </w:p>
        </w:tc>
      </w:tr>
      <w:tr>
        <w:trPr>
          <w:trHeight w:val="239"/>
        </w:trPr>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auto"/>
              </w:rPr>
              <w:t>Personen:</w:t>
            </w: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980" w:type="dxa"/>
            <w:vAlign w:val="bottom"/>
          </w:tcPr>
          <w:p>
            <w:pPr>
              <w:spacing w:after="0"/>
              <w:rPr>
                <w:sz w:val="20"/>
                <w:szCs w:val="20"/>
                <w:color w:val="auto"/>
              </w:rPr>
            </w:pPr>
          </w:p>
        </w:tc>
      </w:tr>
      <w:tr>
        <w:trPr>
          <w:trHeight w:val="558"/>
        </w:trPr>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560" w:type="dxa"/>
            <w:vAlign w:val="bottom"/>
          </w:tcPr>
          <w:p>
            <w:pPr>
              <w:ind w:left="120"/>
              <w:spacing w:after="0"/>
              <w:rPr>
                <w:sz w:val="20"/>
                <w:szCs w:val="20"/>
                <w:color w:val="auto"/>
              </w:rPr>
            </w:pPr>
            <w:r>
              <w:rPr>
                <w:rFonts w:ascii="Arial" w:cs="Arial" w:eastAsia="Arial" w:hAnsi="Arial"/>
                <w:sz w:val="18"/>
                <w:szCs w:val="18"/>
                <w:color w:val="auto"/>
              </w:rPr>
              <w:t>(a)  wirtschaftliche Eigentümerin dieser</w:t>
            </w: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980" w:type="dxa"/>
            <w:vAlign w:val="bottom"/>
          </w:tcPr>
          <w:p>
            <w:pPr>
              <w:ind w:left="180"/>
              <w:spacing w:after="0"/>
              <w:rPr>
                <w:sz w:val="20"/>
                <w:szCs w:val="20"/>
                <w:color w:val="auto"/>
              </w:rPr>
            </w:pPr>
            <w:r>
              <w:rPr>
                <w:rFonts w:ascii="Arial" w:cs="Arial" w:eastAsia="Arial" w:hAnsi="Arial"/>
                <w:sz w:val="18"/>
                <w:szCs w:val="18"/>
                <w:color w:val="auto"/>
              </w:rPr>
              <w:t>(a)   beneficially Owns such Shares,</w:t>
            </w:r>
          </w:p>
        </w:tc>
      </w:tr>
      <w:tr>
        <w:trPr>
          <w:trHeight w:val="239"/>
        </w:trPr>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560" w:type="dxa"/>
            <w:vAlign w:val="bottom"/>
          </w:tcPr>
          <w:p>
            <w:pPr>
              <w:ind w:left="500"/>
              <w:spacing w:after="0"/>
              <w:rPr>
                <w:sz w:val="20"/>
                <w:szCs w:val="20"/>
                <w:color w:val="auto"/>
              </w:rPr>
            </w:pPr>
            <w:r>
              <w:rPr>
                <w:rFonts w:ascii="Arial" w:cs="Arial" w:eastAsia="Arial" w:hAnsi="Arial"/>
                <w:sz w:val="18"/>
                <w:szCs w:val="18"/>
                <w:color w:val="auto"/>
              </w:rPr>
              <w:t>Aktien ist, ob direkt oder indirekt;</w:t>
            </w: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980" w:type="dxa"/>
            <w:vAlign w:val="bottom"/>
          </w:tcPr>
          <w:p>
            <w:pPr>
              <w:ind w:left="720"/>
              <w:spacing w:after="0"/>
              <w:rPr>
                <w:sz w:val="20"/>
                <w:szCs w:val="20"/>
                <w:color w:val="auto"/>
              </w:rPr>
            </w:pPr>
            <w:r>
              <w:rPr>
                <w:rFonts w:ascii="Arial" w:cs="Arial" w:eastAsia="Arial" w:hAnsi="Arial"/>
                <w:sz w:val="18"/>
                <w:szCs w:val="18"/>
                <w:color w:val="auto"/>
              </w:rPr>
              <w:t>directly or indirectly;</w:t>
            </w:r>
          </w:p>
        </w:tc>
      </w:tr>
      <w:tr>
        <w:trPr>
          <w:trHeight w:val="274"/>
        </w:trPr>
        <w:tc>
          <w:tcPr>
            <w:tcW w:w="10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560" w:type="dxa"/>
            <w:vAlign w:val="bottom"/>
          </w:tcPr>
          <w:p>
            <w:pPr>
              <w:ind w:left="120"/>
              <w:spacing w:after="0"/>
              <w:rPr>
                <w:sz w:val="20"/>
                <w:szCs w:val="20"/>
                <w:color w:val="auto"/>
              </w:rPr>
            </w:pPr>
            <w:r>
              <w:rPr>
                <w:rFonts w:ascii="Arial" w:cs="Arial" w:eastAsia="Arial" w:hAnsi="Arial"/>
                <w:sz w:val="18"/>
                <w:szCs w:val="18"/>
                <w:color w:val="auto"/>
              </w:rPr>
              <w:t>(b)  (1) das Recht hat, aufgrund eines</w:t>
            </w:r>
          </w:p>
        </w:tc>
        <w:tc>
          <w:tcPr>
            <w:tcW w:w="7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980" w:type="dxa"/>
            <w:vAlign w:val="bottom"/>
          </w:tcPr>
          <w:p>
            <w:pPr>
              <w:ind w:left="180"/>
              <w:spacing w:after="0"/>
              <w:rPr>
                <w:sz w:val="20"/>
                <w:szCs w:val="20"/>
                <w:color w:val="auto"/>
              </w:rPr>
            </w:pPr>
            <w:r>
              <w:rPr>
                <w:rFonts w:ascii="Arial" w:cs="Arial" w:eastAsia="Arial" w:hAnsi="Arial"/>
                <w:sz w:val="18"/>
                <w:szCs w:val="18"/>
                <w:color w:val="auto"/>
              </w:rPr>
              <w:t>(b)   has (1) the right to acquire such</w:t>
            </w:r>
          </w:p>
        </w:tc>
      </w:tr>
      <w:tr>
        <w:trPr>
          <w:trHeight w:val="203"/>
        </w:trPr>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560" w:type="dxa"/>
            <w:vAlign w:val="bottom"/>
          </w:tcPr>
          <w:p>
            <w:pPr>
              <w:ind w:left="500"/>
              <w:spacing w:after="0" w:line="202" w:lineRule="exact"/>
              <w:rPr>
                <w:sz w:val="20"/>
                <w:szCs w:val="20"/>
                <w:color w:val="auto"/>
              </w:rPr>
            </w:pPr>
            <w:r>
              <w:rPr>
                <w:rFonts w:ascii="Arial" w:cs="Arial" w:eastAsia="Arial" w:hAnsi="Arial"/>
                <w:sz w:val="18"/>
                <w:szCs w:val="18"/>
                <w:color w:val="auto"/>
              </w:rPr>
              <w:t>Vertrags, einer Absprache oder einer</w:t>
            </w: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980" w:type="dxa"/>
            <w:vAlign w:val="bottom"/>
          </w:tcPr>
          <w:p>
            <w:pPr>
              <w:ind w:left="680"/>
              <w:spacing w:after="0" w:line="202" w:lineRule="exact"/>
              <w:rPr>
                <w:sz w:val="20"/>
                <w:szCs w:val="20"/>
                <w:color w:val="auto"/>
              </w:rPr>
            </w:pPr>
            <w:r>
              <w:rPr>
                <w:rFonts w:ascii="Arial" w:cs="Arial" w:eastAsia="Arial" w:hAnsi="Arial"/>
                <w:sz w:val="18"/>
                <w:szCs w:val="18"/>
                <w:color w:val="auto"/>
              </w:rPr>
              <w:t>Shares (whether such right is</w:t>
            </w:r>
          </w:p>
        </w:tc>
      </w:tr>
      <w:tr>
        <w:trPr>
          <w:trHeight w:val="203"/>
        </w:trPr>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560" w:type="dxa"/>
            <w:vAlign w:val="bottom"/>
          </w:tcPr>
          <w:p>
            <w:pPr>
              <w:ind w:left="500"/>
              <w:spacing w:after="0" w:line="202" w:lineRule="exact"/>
              <w:rPr>
                <w:sz w:val="20"/>
                <w:szCs w:val="20"/>
                <w:color w:val="auto"/>
              </w:rPr>
            </w:pPr>
            <w:r>
              <w:rPr>
                <w:rFonts w:ascii="Arial" w:cs="Arial" w:eastAsia="Arial" w:hAnsi="Arial"/>
                <w:sz w:val="18"/>
                <w:szCs w:val="18"/>
                <w:color w:val="auto"/>
              </w:rPr>
              <w:t>anderen Vereinbarung, oder</w:t>
            </w: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980" w:type="dxa"/>
            <w:vAlign w:val="bottom"/>
          </w:tcPr>
          <w:p>
            <w:pPr>
              <w:ind w:left="680"/>
              <w:spacing w:after="0" w:line="202" w:lineRule="exact"/>
              <w:rPr>
                <w:sz w:val="20"/>
                <w:szCs w:val="20"/>
                <w:color w:val="auto"/>
              </w:rPr>
            </w:pPr>
            <w:r>
              <w:rPr>
                <w:rFonts w:ascii="Arial" w:cs="Arial" w:eastAsia="Arial" w:hAnsi="Arial"/>
                <w:sz w:val="18"/>
                <w:szCs w:val="18"/>
                <w:color w:val="auto"/>
              </w:rPr>
              <w:t>exercisable immediately or only</w:t>
            </w:r>
          </w:p>
        </w:tc>
      </w:tr>
      <w:tr>
        <w:trPr>
          <w:trHeight w:val="203"/>
        </w:trPr>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560" w:type="dxa"/>
            <w:vAlign w:val="bottom"/>
          </w:tcPr>
          <w:p>
            <w:pPr>
              <w:ind w:left="500"/>
              <w:spacing w:after="0" w:line="202" w:lineRule="exact"/>
              <w:rPr>
                <w:sz w:val="20"/>
                <w:szCs w:val="20"/>
                <w:color w:val="auto"/>
              </w:rPr>
            </w:pPr>
            <w:r>
              <w:rPr>
                <w:rFonts w:ascii="Arial" w:cs="Arial" w:eastAsia="Arial" w:hAnsi="Arial"/>
                <w:sz w:val="18"/>
                <w:szCs w:val="18"/>
                <w:color w:val="auto"/>
              </w:rPr>
              <w:t>aufgrund der Ausübung eines</w:t>
            </w: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980" w:type="dxa"/>
            <w:vAlign w:val="bottom"/>
          </w:tcPr>
          <w:p>
            <w:pPr>
              <w:ind w:left="680"/>
              <w:spacing w:after="0" w:line="202" w:lineRule="exact"/>
              <w:rPr>
                <w:sz w:val="20"/>
                <w:szCs w:val="20"/>
                <w:color w:val="auto"/>
              </w:rPr>
            </w:pPr>
            <w:r>
              <w:rPr>
                <w:rFonts w:ascii="Arial" w:cs="Arial" w:eastAsia="Arial" w:hAnsi="Arial"/>
                <w:sz w:val="18"/>
                <w:szCs w:val="18"/>
                <w:color w:val="auto"/>
              </w:rPr>
              <w:t>after the passage of time) pursuant</w:t>
            </w:r>
          </w:p>
        </w:tc>
      </w:tr>
      <w:tr>
        <w:trPr>
          <w:trHeight w:val="203"/>
        </w:trPr>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560" w:type="dxa"/>
            <w:vAlign w:val="bottom"/>
          </w:tcPr>
          <w:p>
            <w:pPr>
              <w:ind w:left="500"/>
              <w:spacing w:after="0" w:line="202" w:lineRule="exact"/>
              <w:rPr>
                <w:sz w:val="20"/>
                <w:szCs w:val="20"/>
                <w:color w:val="auto"/>
              </w:rPr>
            </w:pPr>
            <w:r>
              <w:rPr>
                <w:rFonts w:ascii="Arial" w:cs="Arial" w:eastAsia="Arial" w:hAnsi="Arial"/>
                <w:sz w:val="18"/>
                <w:szCs w:val="18"/>
                <w:color w:val="auto"/>
              </w:rPr>
              <w:t>Wandel-, Tausch-, Bezugs- oder</w:t>
            </w: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980" w:type="dxa"/>
            <w:vAlign w:val="bottom"/>
          </w:tcPr>
          <w:p>
            <w:pPr>
              <w:ind w:left="680"/>
              <w:spacing w:after="0" w:line="202" w:lineRule="exact"/>
              <w:rPr>
                <w:sz w:val="20"/>
                <w:szCs w:val="20"/>
                <w:color w:val="auto"/>
              </w:rPr>
            </w:pPr>
            <w:r>
              <w:rPr>
                <w:rFonts w:ascii="Arial" w:cs="Arial" w:eastAsia="Arial" w:hAnsi="Arial"/>
                <w:sz w:val="18"/>
                <w:szCs w:val="18"/>
                <w:color w:val="auto"/>
              </w:rPr>
              <w:t>to any agreement, arrangement or</w:t>
            </w:r>
          </w:p>
        </w:tc>
      </w:tr>
      <w:tr>
        <w:trPr>
          <w:trHeight w:val="203"/>
        </w:trPr>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560" w:type="dxa"/>
            <w:vAlign w:val="bottom"/>
          </w:tcPr>
          <w:p>
            <w:pPr>
              <w:ind w:left="500"/>
              <w:spacing w:after="0" w:line="202" w:lineRule="exact"/>
              <w:rPr>
                <w:sz w:val="20"/>
                <w:szCs w:val="20"/>
                <w:color w:val="auto"/>
              </w:rPr>
            </w:pPr>
            <w:r>
              <w:rPr>
                <w:rFonts w:ascii="Arial" w:cs="Arial" w:eastAsia="Arial" w:hAnsi="Arial"/>
                <w:sz w:val="18"/>
                <w:szCs w:val="18"/>
                <w:color w:val="auto"/>
              </w:rPr>
              <w:t>Optionsrechts oder anderweitig</w:t>
            </w: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980" w:type="dxa"/>
            <w:vAlign w:val="bottom"/>
          </w:tcPr>
          <w:p>
            <w:pPr>
              <w:ind w:left="680"/>
              <w:spacing w:after="0" w:line="202" w:lineRule="exact"/>
              <w:rPr>
                <w:sz w:val="20"/>
                <w:szCs w:val="20"/>
                <w:color w:val="auto"/>
              </w:rPr>
            </w:pPr>
            <w:r>
              <w:rPr>
                <w:rFonts w:ascii="Arial" w:cs="Arial" w:eastAsia="Arial" w:hAnsi="Arial"/>
                <w:sz w:val="18"/>
                <w:szCs w:val="18"/>
                <w:color w:val="auto"/>
              </w:rPr>
              <w:t>understanding, or upon the</w:t>
            </w:r>
          </w:p>
        </w:tc>
      </w:tr>
      <w:tr>
        <w:trPr>
          <w:trHeight w:val="203"/>
        </w:trPr>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560" w:type="dxa"/>
            <w:vAlign w:val="bottom"/>
          </w:tcPr>
          <w:p>
            <w:pPr>
              <w:ind w:left="500"/>
              <w:spacing w:after="0" w:line="202" w:lineRule="exact"/>
              <w:rPr>
                <w:sz w:val="20"/>
                <w:szCs w:val="20"/>
                <w:color w:val="auto"/>
              </w:rPr>
            </w:pPr>
            <w:r>
              <w:rPr>
                <w:rFonts w:ascii="Arial" w:cs="Arial" w:eastAsia="Arial" w:hAnsi="Arial"/>
                <w:sz w:val="18"/>
                <w:szCs w:val="18"/>
                <w:color w:val="auto"/>
              </w:rPr>
              <w:t>Aktien zu erwerben (unabhängig</w:t>
            </w: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980" w:type="dxa"/>
            <w:vAlign w:val="bottom"/>
          </w:tcPr>
          <w:p>
            <w:pPr>
              <w:ind w:left="680"/>
              <w:spacing w:after="0" w:line="202" w:lineRule="exact"/>
              <w:rPr>
                <w:sz w:val="20"/>
                <w:szCs w:val="20"/>
                <w:color w:val="auto"/>
              </w:rPr>
            </w:pPr>
            <w:r>
              <w:rPr>
                <w:rFonts w:ascii="Arial" w:cs="Arial" w:eastAsia="Arial" w:hAnsi="Arial"/>
                <w:sz w:val="18"/>
                <w:szCs w:val="18"/>
                <w:color w:val="auto"/>
              </w:rPr>
              <w:t>exercise of conversion rights,</w:t>
            </w:r>
          </w:p>
        </w:tc>
      </w:tr>
      <w:tr>
        <w:trPr>
          <w:trHeight w:val="203"/>
        </w:trPr>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560" w:type="dxa"/>
            <w:vAlign w:val="bottom"/>
          </w:tcPr>
          <w:p>
            <w:pPr>
              <w:ind w:left="500"/>
              <w:spacing w:after="0" w:line="202" w:lineRule="exact"/>
              <w:rPr>
                <w:sz w:val="20"/>
                <w:szCs w:val="20"/>
                <w:color w:val="auto"/>
              </w:rPr>
            </w:pPr>
            <w:r>
              <w:rPr>
                <w:rFonts w:ascii="Arial" w:cs="Arial" w:eastAsia="Arial" w:hAnsi="Arial"/>
                <w:sz w:val="18"/>
                <w:szCs w:val="18"/>
                <w:color w:val="auto"/>
              </w:rPr>
              <w:t>davon, ob dieses Recht sofort</w:t>
            </w: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980" w:type="dxa"/>
            <w:vAlign w:val="bottom"/>
          </w:tcPr>
          <w:p>
            <w:pPr>
              <w:ind w:left="680"/>
              <w:spacing w:after="0" w:line="202" w:lineRule="exact"/>
              <w:rPr>
                <w:sz w:val="20"/>
                <w:szCs w:val="20"/>
                <w:color w:val="auto"/>
              </w:rPr>
            </w:pPr>
            <w:r>
              <w:rPr>
                <w:rFonts w:ascii="Arial" w:cs="Arial" w:eastAsia="Arial" w:hAnsi="Arial"/>
                <w:sz w:val="18"/>
                <w:szCs w:val="18"/>
                <w:color w:val="auto"/>
              </w:rPr>
              <w:t>exchange rights, warrants or</w:t>
            </w:r>
          </w:p>
        </w:tc>
      </w:tr>
      <w:tr>
        <w:trPr>
          <w:trHeight w:val="203"/>
        </w:trPr>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560" w:type="dxa"/>
            <w:vAlign w:val="bottom"/>
          </w:tcPr>
          <w:p>
            <w:pPr>
              <w:ind w:left="500"/>
              <w:spacing w:after="0" w:line="202" w:lineRule="exact"/>
              <w:rPr>
                <w:sz w:val="20"/>
                <w:szCs w:val="20"/>
                <w:color w:val="auto"/>
              </w:rPr>
            </w:pPr>
            <w:r>
              <w:rPr>
                <w:rFonts w:ascii="Arial" w:cs="Arial" w:eastAsia="Arial" w:hAnsi="Arial"/>
                <w:sz w:val="18"/>
                <w:szCs w:val="18"/>
                <w:color w:val="auto"/>
              </w:rPr>
              <w:t>ausübbar ist oder nur nach einer</w:t>
            </w: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980" w:type="dxa"/>
            <w:vAlign w:val="bottom"/>
          </w:tcPr>
          <w:p>
            <w:pPr>
              <w:ind w:left="680"/>
              <w:spacing w:after="0" w:line="202" w:lineRule="exact"/>
              <w:rPr>
                <w:sz w:val="20"/>
                <w:szCs w:val="20"/>
                <w:color w:val="auto"/>
              </w:rPr>
            </w:pPr>
            <w:r>
              <w:rPr>
                <w:rFonts w:ascii="Arial" w:cs="Arial" w:eastAsia="Arial" w:hAnsi="Arial"/>
                <w:sz w:val="18"/>
                <w:szCs w:val="18"/>
                <w:color w:val="auto"/>
              </w:rPr>
              <w:t xml:space="preserve">options, or otherwise; </w:t>
            </w:r>
            <w:r>
              <w:rPr>
                <w:rFonts w:ascii="Arial" w:cs="Arial" w:eastAsia="Arial" w:hAnsi="Arial"/>
                <w:sz w:val="18"/>
                <w:szCs w:val="18"/>
                <w:i w:val="1"/>
                <w:iCs w:val="1"/>
                <w:color w:val="auto"/>
              </w:rPr>
              <w:t>provided,</w:t>
            </w:r>
          </w:p>
        </w:tc>
      </w:tr>
      <w:tr>
        <w:trPr>
          <w:trHeight w:val="203"/>
        </w:trPr>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560" w:type="dxa"/>
            <w:vAlign w:val="bottom"/>
          </w:tcPr>
          <w:p>
            <w:pPr>
              <w:ind w:left="500"/>
              <w:spacing w:after="0" w:line="202" w:lineRule="exact"/>
              <w:rPr>
                <w:sz w:val="20"/>
                <w:szCs w:val="20"/>
                <w:color w:val="auto"/>
              </w:rPr>
            </w:pPr>
            <w:r>
              <w:rPr>
                <w:rFonts w:ascii="Arial" w:cs="Arial" w:eastAsia="Arial" w:hAnsi="Arial"/>
                <w:sz w:val="18"/>
                <w:szCs w:val="18"/>
                <w:color w:val="auto"/>
              </w:rPr>
              <w:t>gewissen Zeit); vorausgesetzt, dass</w:t>
            </w: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980" w:type="dxa"/>
            <w:vAlign w:val="bottom"/>
          </w:tcPr>
          <w:p>
            <w:pPr>
              <w:ind w:left="680"/>
              <w:spacing w:after="0" w:line="202" w:lineRule="exact"/>
              <w:rPr>
                <w:sz w:val="20"/>
                <w:szCs w:val="20"/>
                <w:color w:val="auto"/>
              </w:rPr>
            </w:pPr>
            <w:r>
              <w:rPr>
                <w:rFonts w:ascii="Arial" w:cs="Arial" w:eastAsia="Arial" w:hAnsi="Arial"/>
                <w:sz w:val="18"/>
                <w:szCs w:val="18"/>
                <w:i w:val="1"/>
                <w:iCs w:val="1"/>
                <w:color w:val="auto"/>
              </w:rPr>
              <w:t>however</w:t>
            </w:r>
            <w:r>
              <w:rPr>
                <w:rFonts w:ascii="Arial" w:cs="Arial" w:eastAsia="Arial" w:hAnsi="Arial"/>
                <w:sz w:val="18"/>
                <w:szCs w:val="18"/>
                <w:color w:val="auto"/>
              </w:rPr>
              <w:t>, that a Person shall not be</w:t>
            </w:r>
          </w:p>
        </w:tc>
      </w:tr>
      <w:tr>
        <w:trPr>
          <w:trHeight w:val="202"/>
        </w:trPr>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560" w:type="dxa"/>
            <w:vAlign w:val="bottom"/>
          </w:tcPr>
          <w:p>
            <w:pPr>
              <w:ind w:left="500"/>
              <w:spacing w:after="0" w:line="202" w:lineRule="exact"/>
              <w:rPr>
                <w:sz w:val="20"/>
                <w:szCs w:val="20"/>
                <w:color w:val="auto"/>
              </w:rPr>
            </w:pPr>
            <w:r>
              <w:rPr>
                <w:rFonts w:ascii="Arial" w:cs="Arial" w:eastAsia="Arial" w:hAnsi="Arial"/>
                <w:sz w:val="18"/>
                <w:szCs w:val="18"/>
                <w:color w:val="auto"/>
              </w:rPr>
              <w:t>eine Person nicht als Eigentümerin</w:t>
            </w: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980" w:type="dxa"/>
            <w:vAlign w:val="bottom"/>
          </w:tcPr>
          <w:p>
            <w:pPr>
              <w:ind w:left="680"/>
              <w:spacing w:after="0" w:line="202" w:lineRule="exact"/>
              <w:rPr>
                <w:sz w:val="20"/>
                <w:szCs w:val="20"/>
                <w:color w:val="auto"/>
              </w:rPr>
            </w:pPr>
            <w:r>
              <w:rPr>
                <w:rFonts w:ascii="Arial" w:cs="Arial" w:eastAsia="Arial" w:hAnsi="Arial"/>
                <w:sz w:val="18"/>
                <w:szCs w:val="18"/>
                <w:color w:val="auto"/>
              </w:rPr>
              <w:t>deemed the Owner of Shares</w:t>
            </w:r>
          </w:p>
        </w:tc>
      </w:tr>
      <w:tr>
        <w:trPr>
          <w:trHeight w:val="203"/>
        </w:trPr>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560" w:type="dxa"/>
            <w:vAlign w:val="bottom"/>
          </w:tcPr>
          <w:p>
            <w:pPr>
              <w:ind w:left="500"/>
              <w:spacing w:after="0" w:line="202" w:lineRule="exact"/>
              <w:rPr>
                <w:sz w:val="20"/>
                <w:szCs w:val="20"/>
                <w:color w:val="auto"/>
              </w:rPr>
            </w:pPr>
            <w:r>
              <w:rPr>
                <w:rFonts w:ascii="Arial" w:cs="Arial" w:eastAsia="Arial" w:hAnsi="Arial"/>
                <w:sz w:val="18"/>
                <w:szCs w:val="18"/>
                <w:color w:val="auto"/>
              </w:rPr>
              <w:t>derjenigen Aktien gelten soll, die im</w:t>
            </w: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980" w:type="dxa"/>
            <w:vAlign w:val="bottom"/>
          </w:tcPr>
          <w:p>
            <w:pPr>
              <w:ind w:left="680"/>
              <w:spacing w:after="0" w:line="202" w:lineRule="exact"/>
              <w:rPr>
                <w:sz w:val="20"/>
                <w:szCs w:val="20"/>
                <w:color w:val="auto"/>
              </w:rPr>
            </w:pPr>
            <w:r>
              <w:rPr>
                <w:rFonts w:ascii="Arial" w:cs="Arial" w:eastAsia="Arial" w:hAnsi="Arial"/>
                <w:sz w:val="18"/>
                <w:szCs w:val="18"/>
                <w:color w:val="auto"/>
              </w:rPr>
              <w:t>tendered pursuant to a tender or</w:t>
            </w:r>
          </w:p>
        </w:tc>
      </w:tr>
      <w:tr>
        <w:trPr>
          <w:trHeight w:val="203"/>
        </w:trPr>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560" w:type="dxa"/>
            <w:vAlign w:val="bottom"/>
          </w:tcPr>
          <w:p>
            <w:pPr>
              <w:ind w:left="500"/>
              <w:spacing w:after="0" w:line="202" w:lineRule="exact"/>
              <w:rPr>
                <w:sz w:val="20"/>
                <w:szCs w:val="20"/>
                <w:color w:val="auto"/>
              </w:rPr>
            </w:pPr>
            <w:r>
              <w:rPr>
                <w:rFonts w:ascii="Arial" w:cs="Arial" w:eastAsia="Arial" w:hAnsi="Arial"/>
                <w:sz w:val="18"/>
                <w:szCs w:val="18"/>
                <w:color w:val="auto"/>
              </w:rPr>
              <w:t>Rahmen eines Übernahme- oder</w:t>
            </w: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980" w:type="dxa"/>
            <w:vAlign w:val="bottom"/>
          </w:tcPr>
          <w:p>
            <w:pPr>
              <w:ind w:left="680"/>
              <w:spacing w:after="0" w:line="202" w:lineRule="exact"/>
              <w:rPr>
                <w:sz w:val="20"/>
                <w:szCs w:val="20"/>
                <w:color w:val="auto"/>
              </w:rPr>
            </w:pPr>
            <w:r>
              <w:rPr>
                <w:rFonts w:ascii="Arial" w:cs="Arial" w:eastAsia="Arial" w:hAnsi="Arial"/>
                <w:sz w:val="18"/>
                <w:szCs w:val="18"/>
                <w:color w:val="auto"/>
              </w:rPr>
              <w:t>exchange offer made by such</w:t>
            </w:r>
          </w:p>
        </w:tc>
      </w:tr>
      <w:tr>
        <w:trPr>
          <w:trHeight w:val="239"/>
        </w:trPr>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560" w:type="dxa"/>
            <w:vAlign w:val="bottom"/>
          </w:tcPr>
          <w:p>
            <w:pPr>
              <w:ind w:left="500"/>
              <w:spacing w:after="0"/>
              <w:rPr>
                <w:sz w:val="20"/>
                <w:szCs w:val="20"/>
                <w:color w:val="auto"/>
              </w:rPr>
            </w:pPr>
            <w:r>
              <w:rPr>
                <w:rFonts w:ascii="Arial" w:cs="Arial" w:eastAsia="Arial" w:hAnsi="Arial"/>
                <w:sz w:val="18"/>
                <w:szCs w:val="18"/>
                <w:color w:val="auto"/>
              </w:rPr>
              <w:t>Umtauschangebots,</w:t>
            </w: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980" w:type="dxa"/>
            <w:vAlign w:val="bottom"/>
          </w:tcPr>
          <w:p>
            <w:pPr>
              <w:ind w:left="680"/>
              <w:spacing w:after="0"/>
              <w:rPr>
                <w:sz w:val="20"/>
                <w:szCs w:val="20"/>
                <w:color w:val="auto"/>
              </w:rPr>
            </w:pPr>
            <w:r>
              <w:rPr>
                <w:rFonts w:ascii="Arial" w:cs="Arial" w:eastAsia="Arial" w:hAnsi="Arial"/>
                <w:sz w:val="18"/>
                <w:szCs w:val="18"/>
                <w:color w:val="auto"/>
              </w:rPr>
              <w:t>Person or any of</w:t>
            </w:r>
          </w:p>
        </w:tc>
      </w:tr>
      <w:tr>
        <w:trPr>
          <w:trHeight w:val="530"/>
        </w:trPr>
        <w:tc>
          <w:tcPr>
            <w:tcW w:w="10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1080" w:top="670" w:right="899" w:bottom="1440" w:gutter="0" w:footer="0" w:header="0"/>
          <w:type w:val="continuous"/>
        </w:sectPr>
      </w:pPr>
    </w:p>
    <w:bookmarkStart w:id="49" w:name="page50"/>
    <w:bookmarkEnd w:id="49"/>
    <w:p>
      <w:pPr>
        <w:jc w:val="center"/>
        <w:ind w:right="-319"/>
        <w:spacing w:after="0"/>
        <w:rPr>
          <w:sz w:val="20"/>
          <w:szCs w:val="20"/>
          <w:color w:val="auto"/>
        </w:rPr>
      </w:pPr>
      <w:r>
        <w:rPr>
          <w:rFonts w:ascii="Arial" w:cs="Arial" w:eastAsia="Arial" w:hAnsi="Arial"/>
          <w:sz w:val="13"/>
          <w:szCs w:val="13"/>
          <w:color w:val="auto"/>
        </w:rPr>
        <w:t>- 42 -</w:t>
      </w:r>
    </w:p>
    <w:p>
      <w:pPr>
        <w:sectPr>
          <w:pgSz w:w="11900" w:h="16838" w:orient="portrait"/>
          <w:cols w:equalWidth="0" w:num="1">
            <w:col w:w="9320"/>
          </w:cols>
          <w:pgMar w:left="1220" w:top="670"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400" w:right="20"/>
        <w:spacing w:after="0" w:line="236" w:lineRule="auto"/>
        <w:rPr>
          <w:sz w:val="20"/>
          <w:szCs w:val="20"/>
          <w:color w:val="auto"/>
        </w:rPr>
      </w:pPr>
      <w:r>
        <w:rPr>
          <w:rFonts w:ascii="Arial" w:cs="Arial" w:eastAsia="Arial" w:hAnsi="Arial"/>
          <w:sz w:val="18"/>
          <w:szCs w:val="18"/>
          <w:color w:val="auto"/>
        </w:rPr>
        <w:t>das diese Person oder eine dieser Person Nahestehende Gesellschaft oder Nahestehende Person eingeleitet hat, angedient werden, bis diese Aktien zum Kauf oder Tausch akzeptiert werden; oder (2) das Recht hat, die Stimmrechte dieser Aktien aufgrund eines Vertrags, einer Absprache oder einer anderen Vereinbarung auszuüben; vorausgesetzt, dass eine Person nicht als Eigentümerin von Aktien gilt infolge des Rechts, das Stimmrecht auszuüben, soweit der diesbezügliche Vertrag, die diesbezügliche Absprache oder die diesbezügliche andere Vereinbarung nur aufgrund einer widerruflichen Vollmacht (</w:t>
      </w:r>
      <w:r>
        <w:rPr>
          <w:rFonts w:ascii="Arial" w:cs="Arial" w:eastAsia="Arial" w:hAnsi="Arial"/>
          <w:sz w:val="18"/>
          <w:szCs w:val="18"/>
          <w:i w:val="1"/>
          <w:iCs w:val="1"/>
          <w:color w:val="auto"/>
        </w:rPr>
        <w:t>proxy</w:t>
      </w:r>
      <w:r>
        <w:rPr>
          <w:rFonts w:ascii="Arial" w:cs="Arial" w:eastAsia="Arial" w:hAnsi="Arial"/>
          <w:sz w:val="18"/>
          <w:szCs w:val="18"/>
          <w:color w:val="auto"/>
        </w:rPr>
        <w:t>) oder Zustimmung zustande gekommen ist, und diese Vollmacht (</w:t>
      </w:r>
      <w:r>
        <w:rPr>
          <w:rFonts w:ascii="Arial" w:cs="Arial" w:eastAsia="Arial" w:hAnsi="Arial"/>
          <w:sz w:val="18"/>
          <w:szCs w:val="18"/>
          <w:i w:val="1"/>
          <w:iCs w:val="1"/>
          <w:color w:val="auto"/>
        </w:rPr>
        <w:t>proxy</w:t>
      </w:r>
      <w:r>
        <w:rPr>
          <w:rFonts w:ascii="Arial" w:cs="Arial" w:eastAsia="Arial" w:hAnsi="Arial"/>
          <w:sz w:val="18"/>
          <w:szCs w:val="18"/>
          <w:color w:val="auto"/>
        </w:rPr>
        <w:t>) oder Zustimmung in Erwiderung auf eine an 10 oder mehr Personen gemachte diesbezügliche Aufforderung ergangen ist; oder</w:t>
      </w:r>
    </w:p>
    <w:p>
      <w:pPr>
        <w:spacing w:after="0" w:line="78" w:lineRule="exact"/>
        <w:rPr>
          <w:sz w:val="20"/>
          <w:szCs w:val="20"/>
          <w:color w:val="auto"/>
        </w:rPr>
      </w:pPr>
    </w:p>
    <w:p>
      <w:pPr>
        <w:ind w:left="2400" w:right="60" w:hanging="384"/>
        <w:spacing w:after="0" w:line="237" w:lineRule="auto"/>
        <w:tabs>
          <w:tab w:leader="none" w:pos="240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zwecks Erwerbs, Haltens, Stimmrechtsausübung (mit Ausnahme der Stimmrechtsausübung aufgrund einer widerruflichen Vollmacht (</w:t>
      </w:r>
      <w:r>
        <w:rPr>
          <w:rFonts w:ascii="Arial" w:cs="Arial" w:eastAsia="Arial" w:hAnsi="Arial"/>
          <w:sz w:val="18"/>
          <w:szCs w:val="18"/>
          <w:i w:val="1"/>
          <w:iCs w:val="1"/>
          <w:color w:val="auto"/>
        </w:rPr>
        <w:t>proxy</w:t>
      </w:r>
      <w:r>
        <w:rPr>
          <w:rFonts w:ascii="Arial" w:cs="Arial" w:eastAsia="Arial" w:hAnsi="Arial"/>
          <w:sz w:val="18"/>
          <w:szCs w:val="18"/>
          <w:color w:val="auto"/>
        </w:rPr>
        <w:t>) oder Zustimmung wie in Artikel 35 Abs. 2(b)(ii)(2) umschrieben) oder Veräusserung dieser Aktien mit einer anderen Person in einen Vertrag, eine Absprache oder eine andere Vereinbarung getreten ist, die direkt oder indirekt entweder selbst oder über ihr Nahestehende Gesellschaften oder Nahestehende Personen wirtschaftlich Eigentümerin dieser Aktien ist.</w:t>
      </w:r>
    </w:p>
    <w:p>
      <w:pPr>
        <w:spacing w:after="0"/>
        <w:tabs>
          <w:tab w:leader="none" w:pos="2000" w:val="left"/>
        </w:tabs>
        <w:rPr>
          <w:sz w:val="20"/>
          <w:szCs w:val="20"/>
          <w:color w:val="auto"/>
        </w:rPr>
      </w:pPr>
      <w:r>
        <w:rPr>
          <w:rFonts w:ascii="Arial" w:cs="Arial" w:eastAsia="Arial" w:hAnsi="Arial"/>
          <w:sz w:val="28"/>
          <w:szCs w:val="28"/>
          <w:color w:val="auto"/>
          <w:vertAlign w:val="superscript"/>
        </w:rPr>
        <w:t>Gesamtjahresvergütung  2a</w:t>
      </w:r>
      <w:r>
        <w:rPr>
          <w:sz w:val="20"/>
          <w:szCs w:val="20"/>
          <w:color w:val="auto"/>
        </w:rPr>
        <w:tab/>
      </w:r>
      <w:r>
        <w:rPr>
          <w:rFonts w:ascii="Arial" w:cs="Arial" w:eastAsia="Arial" w:hAnsi="Arial"/>
          <w:sz w:val="17"/>
          <w:szCs w:val="17"/>
          <w:color w:val="auto"/>
        </w:rPr>
        <w:t xml:space="preserve">Der Begriff </w:t>
      </w:r>
      <w:r>
        <w:rPr>
          <w:rFonts w:ascii="Arial" w:cs="Arial" w:eastAsia="Arial" w:hAnsi="Arial"/>
          <w:sz w:val="17"/>
          <w:szCs w:val="17"/>
          <w:b w:val="1"/>
          <w:bCs w:val="1"/>
          <w:color w:val="auto"/>
        </w:rPr>
        <w:t>Gesamtjahresvergütung</w:t>
      </w:r>
    </w:p>
    <w:p>
      <w:pPr>
        <w:spacing w:after="0" w:line="6"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hat für Zwecke der Bestimmung von</w:t>
      </w:r>
    </w:p>
    <w:p>
      <w:pPr>
        <w:ind w:left="2020"/>
        <w:spacing w:after="0" w:line="234" w:lineRule="auto"/>
        <w:rPr>
          <w:sz w:val="20"/>
          <w:szCs w:val="20"/>
          <w:color w:val="auto"/>
        </w:rPr>
      </w:pPr>
      <w:r>
        <w:rPr>
          <w:rFonts w:ascii="Arial" w:cs="Arial" w:eastAsia="Arial" w:hAnsi="Arial"/>
          <w:sz w:val="18"/>
          <w:szCs w:val="18"/>
          <w:color w:val="auto"/>
        </w:rPr>
        <w:t>Artikel 29c dieser Statuten die in</w:t>
      </w:r>
    </w:p>
    <w:p>
      <w:pPr>
        <w:ind w:left="2020"/>
        <w:spacing w:after="0" w:line="235" w:lineRule="auto"/>
        <w:rPr>
          <w:sz w:val="20"/>
          <w:szCs w:val="20"/>
          <w:color w:val="auto"/>
        </w:rPr>
      </w:pPr>
      <w:r>
        <w:rPr>
          <w:rFonts w:ascii="Arial" w:cs="Arial" w:eastAsia="Arial" w:hAnsi="Arial"/>
          <w:sz w:val="18"/>
          <w:szCs w:val="18"/>
          <w:color w:val="auto"/>
        </w:rPr>
        <w:t>Artikel 29c dieser Statuten</w:t>
      </w:r>
    </w:p>
    <w:p>
      <w:pPr>
        <w:spacing w:after="0" w:line="1"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aufgeführte Bedeutung.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20"/>
                <w:szCs w:val="20"/>
                <w:color w:val="auto"/>
              </w:rPr>
            </w:pPr>
            <w:r>
              <w:rPr>
                <w:rFonts w:ascii="Arial" w:cs="Arial" w:eastAsia="Arial" w:hAnsi="Arial"/>
                <w:sz w:val="14"/>
                <w:szCs w:val="14"/>
                <w:color w:val="auto"/>
              </w:rPr>
              <w:t>Total Annual</w:t>
            </w:r>
          </w:p>
        </w:tc>
        <w:tc>
          <w:tcPr>
            <w:tcW w:w="220" w:type="dxa"/>
            <w:vAlign w:val="bottom"/>
          </w:tcPr>
          <w:p>
            <w:pPr>
              <w:ind w:left="60"/>
              <w:spacing w:after="0"/>
              <w:rPr>
                <w:sz w:val="20"/>
                <w:szCs w:val="20"/>
                <w:color w:val="auto"/>
              </w:rPr>
            </w:pPr>
            <w:r>
              <w:rPr>
                <w:rFonts w:ascii="Arial" w:cs="Arial" w:eastAsia="Arial" w:hAnsi="Arial"/>
                <w:sz w:val="14"/>
                <w:szCs w:val="14"/>
                <w:color w:val="auto"/>
                <w:w w:val="89"/>
              </w:rPr>
              <w:t>2a</w:t>
            </w:r>
          </w:p>
        </w:tc>
      </w:tr>
      <w:tr>
        <w:trPr>
          <w:trHeight w:val="190"/>
        </w:trPr>
        <w:tc>
          <w:tcPr>
            <w:tcW w:w="1000" w:type="dxa"/>
            <w:vAlign w:val="bottom"/>
          </w:tcPr>
          <w:p>
            <w:pPr>
              <w:spacing w:after="0"/>
              <w:rPr>
                <w:sz w:val="20"/>
                <w:szCs w:val="20"/>
                <w:color w:val="auto"/>
              </w:rPr>
            </w:pPr>
            <w:r>
              <w:rPr>
                <w:rFonts w:ascii="Arial" w:cs="Arial" w:eastAsia="Arial" w:hAnsi="Arial"/>
                <w:sz w:val="14"/>
                <w:szCs w:val="14"/>
                <w:color w:val="auto"/>
              </w:rPr>
              <w:t>Compensation</w:t>
            </w:r>
          </w:p>
        </w:tc>
        <w:tc>
          <w:tcPr>
            <w:tcW w:w="22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0" w:lineRule="exact"/>
        <w:rPr>
          <w:sz w:val="20"/>
          <w:szCs w:val="20"/>
          <w:color w:val="auto"/>
        </w:rPr>
      </w:pPr>
    </w:p>
    <w:p>
      <w:pPr>
        <w:ind w:left="500"/>
        <w:spacing w:after="0" w:line="236" w:lineRule="auto"/>
        <w:rPr>
          <w:sz w:val="20"/>
          <w:szCs w:val="20"/>
          <w:color w:val="auto"/>
        </w:rPr>
      </w:pPr>
      <w:r>
        <w:rPr>
          <w:rFonts w:ascii="Arial" w:cs="Arial" w:eastAsia="Arial" w:hAnsi="Arial"/>
          <w:sz w:val="18"/>
          <w:szCs w:val="18"/>
          <w:color w:val="auto"/>
        </w:rPr>
        <w:t xml:space="preserve">such Person's Affiliates or Associates until such tendered Shares are accepted for purchase or exchange; or (2) the right to vote such Shares pursuant to any agreement, arrangement or understanding;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 Person</w:t>
      </w:r>
      <w:r>
        <w:rPr>
          <w:rFonts w:ascii="Arial" w:cs="Arial" w:eastAsia="Arial" w:hAnsi="Arial"/>
          <w:sz w:val="18"/>
          <w:szCs w:val="18"/>
          <w:i w:val="1"/>
          <w:iCs w:val="1"/>
          <w:color w:val="auto"/>
        </w:rPr>
        <w:t xml:space="preserve"> </w:t>
      </w:r>
      <w:r>
        <w:rPr>
          <w:rFonts w:ascii="Arial" w:cs="Arial" w:eastAsia="Arial" w:hAnsi="Arial"/>
          <w:sz w:val="18"/>
          <w:szCs w:val="18"/>
          <w:color w:val="auto"/>
        </w:rPr>
        <w:t>shall not be deemed the Owner of any Shares because of such Person's right to vote such Shares if the agreement, arrangement or understanding to vote such Shares arises solely from a revocable proxy or consent given in response to a proxy or consent solicitation made to 10 or more Persons;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500" w:right="60" w:hanging="494"/>
        <w:spacing w:after="0" w:line="237" w:lineRule="auto"/>
        <w:tabs>
          <w:tab w:leader="none" w:pos="50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has any agreement, arrangement or understanding for the purpose of acquiring, holding, voting (except voting pursuant to a revocable proxy or consent as described in</w:t>
      </w:r>
    </w:p>
    <w:p>
      <w:pPr>
        <w:spacing w:after="0" w:line="2" w:lineRule="exact"/>
        <w:rPr>
          <w:rFonts w:ascii="Arial" w:cs="Arial" w:eastAsia="Arial" w:hAnsi="Arial"/>
          <w:sz w:val="18"/>
          <w:szCs w:val="18"/>
          <w:color w:val="auto"/>
        </w:rPr>
      </w:pPr>
    </w:p>
    <w:p>
      <w:pPr>
        <w:ind w:left="500"/>
        <w:spacing w:after="0" w:line="237" w:lineRule="auto"/>
        <w:rPr>
          <w:rFonts w:ascii="Arial" w:cs="Arial" w:eastAsia="Arial" w:hAnsi="Arial"/>
          <w:sz w:val="18"/>
          <w:szCs w:val="18"/>
          <w:color w:val="auto"/>
        </w:rPr>
      </w:pPr>
      <w:r>
        <w:rPr>
          <w:rFonts w:ascii="Arial" w:cs="Arial" w:eastAsia="Arial" w:hAnsi="Arial"/>
          <w:sz w:val="18"/>
          <w:szCs w:val="18"/>
          <w:color w:val="auto"/>
        </w:rPr>
        <w:t>Article 35 para. 2(b)(ii)(2)), or disposing of such Shares with any other Person that beneficially Owns, or whose Affiliates or Associates beneficially Own, directly or indirectly, such Shares.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20"/>
        <w:spacing w:after="0"/>
        <w:rPr>
          <w:sz w:val="20"/>
          <w:szCs w:val="20"/>
          <w:color w:val="auto"/>
        </w:rPr>
      </w:pPr>
      <w:r>
        <w:rPr>
          <w:rFonts w:ascii="Arial" w:cs="Arial" w:eastAsia="Arial" w:hAnsi="Arial"/>
          <w:sz w:val="18"/>
          <w:szCs w:val="18"/>
          <w:color w:val="auto"/>
        </w:rPr>
        <w:t xml:space="preserve">The term </w:t>
      </w:r>
      <w:r>
        <w:rPr>
          <w:rFonts w:ascii="Arial" w:cs="Arial" w:eastAsia="Arial" w:hAnsi="Arial"/>
          <w:sz w:val="18"/>
          <w:szCs w:val="18"/>
          <w:b w:val="1"/>
          <w:bCs w:val="1"/>
          <w:color w:val="auto"/>
        </w:rPr>
        <w:t>Total Annual</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Compensation </w:t>
      </w:r>
      <w:r>
        <w:rPr>
          <w:rFonts w:ascii="Arial" w:cs="Arial" w:eastAsia="Arial" w:hAnsi="Arial"/>
          <w:sz w:val="18"/>
          <w:szCs w:val="18"/>
          <w:color w:val="auto"/>
        </w:rPr>
        <w:t>has, for purposes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provision of Article 29c of these Articles of Association, the meaning assigned to it in Article 29c of these Articles of Association.</w:t>
      </w:r>
    </w:p>
    <w:p>
      <w:pPr>
        <w:spacing w:after="0" w:line="1" w:lineRule="exact"/>
        <w:rPr>
          <w:sz w:val="20"/>
          <w:szCs w:val="20"/>
          <w:color w:val="auto"/>
        </w:rPr>
      </w:pPr>
    </w:p>
    <w:p>
      <w:pPr>
        <w:sectPr>
          <w:pgSz w:w="11900" w:h="16838" w:orient="portrait"/>
          <w:cols w:equalWidth="0" w:num="3">
            <w:col w:w="5000" w:space="140"/>
            <w:col w:w="1220" w:space="240"/>
            <w:col w:w="2720"/>
          </w:cols>
          <w:pgMar w:left="1220" w:top="670" w:right="1359" w:bottom="1440" w:gutter="0" w:footer="0" w:header="0"/>
          <w:type w:val="continuous"/>
        </w:sectPr>
      </w:pPr>
    </w:p>
    <w:tbl>
      <w:tblPr>
        <w:tblLayout w:type="fixed"/>
        <w:tblInd w:w="0" w:type="dxa"/>
        <w:tblCellMar>
          <w:top w:w="0" w:type="dxa"/>
          <w:left w:w="0" w:type="dxa"/>
          <w:bottom w:w="0" w:type="dxa"/>
          <w:right w:w="0" w:type="dxa"/>
        </w:tblCellMar>
      </w:tblPr>
      <w:tr>
        <w:trPr>
          <w:trHeight w:val="279"/>
        </w:trPr>
        <w:tc>
          <w:tcPr>
            <w:tcW w:w="1360" w:type="dxa"/>
            <w:vAlign w:val="bottom"/>
          </w:tcPr>
          <w:p>
            <w:pPr>
              <w:spacing w:after="0"/>
              <w:rPr>
                <w:sz w:val="20"/>
                <w:szCs w:val="20"/>
                <w:color w:val="auto"/>
              </w:rPr>
            </w:pPr>
            <w:r>
              <w:rPr>
                <w:rFonts w:ascii="Arial" w:cs="Arial" w:eastAsia="Arial" w:hAnsi="Arial"/>
                <w:sz w:val="14"/>
                <w:szCs w:val="14"/>
                <w:color w:val="auto"/>
              </w:rPr>
              <w:t>Geschäftsleitung</w:t>
            </w:r>
          </w:p>
        </w:tc>
        <w:tc>
          <w:tcPr>
            <w:tcW w:w="3620" w:type="dxa"/>
            <w:vAlign w:val="bottom"/>
          </w:tcPr>
          <w:p>
            <w:pPr>
              <w:ind w:left="300"/>
              <w:spacing w:after="0" w:line="280" w:lineRule="exact"/>
              <w:rPr>
                <w:sz w:val="20"/>
                <w:szCs w:val="20"/>
                <w:color w:val="auto"/>
              </w:rPr>
            </w:pPr>
            <w:r>
              <w:rPr>
                <w:rFonts w:ascii="Arial" w:cs="Arial" w:eastAsia="Arial" w:hAnsi="Arial"/>
                <w:sz w:val="28"/>
                <w:szCs w:val="28"/>
                <w:color w:val="auto"/>
                <w:w w:val="99"/>
                <w:vertAlign w:val="superscript"/>
              </w:rPr>
              <w:t>2b</w:t>
            </w:r>
            <w:r>
              <w:rPr>
                <w:rFonts w:ascii="Arial" w:cs="Arial" w:eastAsia="Arial" w:hAnsi="Arial"/>
                <w:sz w:val="18"/>
                <w:szCs w:val="18"/>
                <w:color w:val="auto"/>
                <w:w w:val="99"/>
              </w:rPr>
              <w:t xml:space="preserve">   Der Begriff </w:t>
            </w:r>
            <w:r>
              <w:rPr>
                <w:rFonts w:ascii="Arial" w:cs="Arial" w:eastAsia="Arial" w:hAnsi="Arial"/>
                <w:sz w:val="18"/>
                <w:szCs w:val="18"/>
                <w:b w:val="1"/>
                <w:bCs w:val="1"/>
                <w:color w:val="auto"/>
                <w:w w:val="99"/>
              </w:rPr>
              <w:t>Geschäftsleitung</w:t>
            </w:r>
            <w:r>
              <w:rPr>
                <w:rFonts w:ascii="Arial" w:cs="Arial" w:eastAsia="Arial" w:hAnsi="Arial"/>
                <w:sz w:val="18"/>
                <w:szCs w:val="18"/>
                <w:color w:val="auto"/>
                <w:w w:val="99"/>
              </w:rPr>
              <w:t xml:space="preserve"> hat die</w:t>
            </w:r>
          </w:p>
        </w:tc>
      </w:tr>
      <w:tr>
        <w:trPr>
          <w:trHeight w:val="203"/>
        </w:trPr>
        <w:tc>
          <w:tcPr>
            <w:tcW w:w="1360" w:type="dxa"/>
            <w:vAlign w:val="bottom"/>
          </w:tcPr>
          <w:p>
            <w:pPr>
              <w:spacing w:after="0"/>
              <w:rPr>
                <w:sz w:val="17"/>
                <w:szCs w:val="17"/>
                <w:color w:val="auto"/>
              </w:rPr>
            </w:pPr>
          </w:p>
        </w:tc>
        <w:tc>
          <w:tcPr>
            <w:tcW w:w="3620" w:type="dxa"/>
            <w:vAlign w:val="bottom"/>
          </w:tcPr>
          <w:p>
            <w:pPr>
              <w:ind w:left="660"/>
              <w:spacing w:after="0" w:line="202" w:lineRule="exact"/>
              <w:rPr>
                <w:sz w:val="20"/>
                <w:szCs w:val="20"/>
                <w:color w:val="auto"/>
              </w:rPr>
            </w:pPr>
            <w:r>
              <w:rPr>
                <w:rFonts w:ascii="Arial" w:cs="Arial" w:eastAsia="Arial" w:hAnsi="Arial"/>
                <w:sz w:val="18"/>
                <w:szCs w:val="18"/>
                <w:color w:val="auto"/>
              </w:rPr>
              <w:t>in Artikel 26 dieser Statuten</w:t>
            </w:r>
          </w:p>
        </w:tc>
      </w:tr>
      <w:tr>
        <w:trPr>
          <w:trHeight w:val="203"/>
        </w:trPr>
        <w:tc>
          <w:tcPr>
            <w:tcW w:w="1360" w:type="dxa"/>
            <w:vAlign w:val="bottom"/>
          </w:tcPr>
          <w:p>
            <w:pPr>
              <w:spacing w:after="0"/>
              <w:rPr>
                <w:sz w:val="17"/>
                <w:szCs w:val="17"/>
                <w:color w:val="auto"/>
              </w:rPr>
            </w:pPr>
          </w:p>
        </w:tc>
        <w:tc>
          <w:tcPr>
            <w:tcW w:w="3620" w:type="dxa"/>
            <w:vAlign w:val="bottom"/>
          </w:tcPr>
          <w:p>
            <w:pPr>
              <w:ind w:left="660"/>
              <w:spacing w:after="0" w:line="202" w:lineRule="exact"/>
              <w:rPr>
                <w:sz w:val="20"/>
                <w:szCs w:val="20"/>
                <w:color w:val="auto"/>
              </w:rPr>
            </w:pPr>
            <w:r>
              <w:rPr>
                <w:rFonts w:ascii="Arial" w:cs="Arial" w:eastAsia="Arial" w:hAnsi="Arial"/>
                <w:sz w:val="18"/>
                <w:szCs w:val="18"/>
                <w:color w:val="auto"/>
                <w:w w:val="99"/>
              </w:rPr>
              <w:t>aufgeführte Bedeutung. In Bezug auf</w:t>
            </w:r>
          </w:p>
        </w:tc>
      </w:tr>
      <w:tr>
        <w:trPr>
          <w:trHeight w:val="203"/>
        </w:trPr>
        <w:tc>
          <w:tcPr>
            <w:tcW w:w="1360" w:type="dxa"/>
            <w:vAlign w:val="bottom"/>
          </w:tcPr>
          <w:p>
            <w:pPr>
              <w:spacing w:after="0"/>
              <w:rPr>
                <w:sz w:val="17"/>
                <w:szCs w:val="17"/>
                <w:color w:val="auto"/>
              </w:rPr>
            </w:pPr>
          </w:p>
        </w:tc>
        <w:tc>
          <w:tcPr>
            <w:tcW w:w="3620" w:type="dxa"/>
            <w:vAlign w:val="bottom"/>
          </w:tcPr>
          <w:p>
            <w:pPr>
              <w:ind w:left="660"/>
              <w:spacing w:after="0" w:line="202" w:lineRule="exact"/>
              <w:rPr>
                <w:sz w:val="20"/>
                <w:szCs w:val="20"/>
                <w:color w:val="auto"/>
              </w:rPr>
            </w:pPr>
            <w:r>
              <w:rPr>
                <w:rFonts w:ascii="Arial" w:cs="Arial" w:eastAsia="Arial" w:hAnsi="Arial"/>
                <w:sz w:val="18"/>
                <w:szCs w:val="18"/>
                <w:color w:val="auto"/>
              </w:rPr>
              <w:t>Artikel 20 Abs. 3 und den</w:t>
            </w:r>
          </w:p>
        </w:tc>
      </w:tr>
      <w:tr>
        <w:trPr>
          <w:trHeight w:val="203"/>
        </w:trPr>
        <w:tc>
          <w:tcPr>
            <w:tcW w:w="1360" w:type="dxa"/>
            <w:vAlign w:val="bottom"/>
          </w:tcPr>
          <w:p>
            <w:pPr>
              <w:spacing w:after="0"/>
              <w:rPr>
                <w:sz w:val="17"/>
                <w:szCs w:val="17"/>
                <w:color w:val="auto"/>
              </w:rPr>
            </w:pPr>
          </w:p>
        </w:tc>
        <w:tc>
          <w:tcPr>
            <w:tcW w:w="3620" w:type="dxa"/>
            <w:vAlign w:val="bottom"/>
          </w:tcPr>
          <w:p>
            <w:pPr>
              <w:ind w:left="660"/>
              <w:spacing w:after="0" w:line="202" w:lineRule="exact"/>
              <w:rPr>
                <w:sz w:val="20"/>
                <w:szCs w:val="20"/>
                <w:color w:val="auto"/>
              </w:rPr>
            </w:pPr>
            <w:r>
              <w:rPr>
                <w:rFonts w:ascii="Arial" w:cs="Arial" w:eastAsia="Arial" w:hAnsi="Arial"/>
                <w:sz w:val="18"/>
                <w:szCs w:val="18"/>
                <w:color w:val="auto"/>
              </w:rPr>
              <w:t>dazugehörigen Definitionen in</w:t>
            </w:r>
          </w:p>
        </w:tc>
      </w:tr>
      <w:tr>
        <w:trPr>
          <w:trHeight w:val="203"/>
        </w:trPr>
        <w:tc>
          <w:tcPr>
            <w:tcW w:w="1360" w:type="dxa"/>
            <w:vAlign w:val="bottom"/>
          </w:tcPr>
          <w:p>
            <w:pPr>
              <w:spacing w:after="0"/>
              <w:rPr>
                <w:sz w:val="17"/>
                <w:szCs w:val="17"/>
                <w:color w:val="auto"/>
              </w:rPr>
            </w:pPr>
          </w:p>
        </w:tc>
        <w:tc>
          <w:tcPr>
            <w:tcW w:w="3620" w:type="dxa"/>
            <w:vAlign w:val="bottom"/>
          </w:tcPr>
          <w:p>
            <w:pPr>
              <w:ind w:left="660"/>
              <w:spacing w:after="0" w:line="202" w:lineRule="exact"/>
              <w:rPr>
                <w:sz w:val="20"/>
                <w:szCs w:val="20"/>
                <w:color w:val="auto"/>
              </w:rPr>
            </w:pPr>
            <w:r>
              <w:rPr>
                <w:rFonts w:ascii="Arial" w:cs="Arial" w:eastAsia="Arial" w:hAnsi="Arial"/>
                <w:sz w:val="18"/>
                <w:szCs w:val="18"/>
                <w:color w:val="auto"/>
              </w:rPr>
              <w:t>diesem Abschnitt 8 sowie in Bezug</w:t>
            </w:r>
          </w:p>
        </w:tc>
      </w:tr>
      <w:tr>
        <w:trPr>
          <w:trHeight w:val="202"/>
        </w:trPr>
        <w:tc>
          <w:tcPr>
            <w:tcW w:w="1360" w:type="dxa"/>
            <w:vAlign w:val="bottom"/>
          </w:tcPr>
          <w:p>
            <w:pPr>
              <w:spacing w:after="0"/>
              <w:rPr>
                <w:sz w:val="17"/>
                <w:szCs w:val="17"/>
                <w:color w:val="auto"/>
              </w:rPr>
            </w:pPr>
          </w:p>
        </w:tc>
        <w:tc>
          <w:tcPr>
            <w:tcW w:w="3620" w:type="dxa"/>
            <w:vAlign w:val="bottom"/>
          </w:tcPr>
          <w:p>
            <w:pPr>
              <w:ind w:left="660"/>
              <w:spacing w:after="0" w:line="202" w:lineRule="exact"/>
              <w:rPr>
                <w:sz w:val="20"/>
                <w:szCs w:val="20"/>
                <w:color w:val="auto"/>
              </w:rPr>
            </w:pPr>
            <w:r>
              <w:rPr>
                <w:rFonts w:ascii="Arial" w:cs="Arial" w:eastAsia="Arial" w:hAnsi="Arial"/>
                <w:sz w:val="18"/>
                <w:szCs w:val="18"/>
                <w:color w:val="auto"/>
              </w:rPr>
              <w:t>auf Artikel 24 Abs. 3 und Abs. 4 ist</w:t>
            </w:r>
          </w:p>
        </w:tc>
      </w:tr>
      <w:tr>
        <w:trPr>
          <w:trHeight w:val="202"/>
        </w:trPr>
        <w:tc>
          <w:tcPr>
            <w:tcW w:w="1360" w:type="dxa"/>
            <w:vAlign w:val="bottom"/>
          </w:tcPr>
          <w:p>
            <w:pPr>
              <w:spacing w:after="0"/>
              <w:rPr>
                <w:sz w:val="17"/>
                <w:szCs w:val="17"/>
                <w:color w:val="auto"/>
              </w:rPr>
            </w:pPr>
          </w:p>
        </w:tc>
        <w:tc>
          <w:tcPr>
            <w:tcW w:w="3620" w:type="dxa"/>
            <w:vAlign w:val="bottom"/>
          </w:tcPr>
          <w:p>
            <w:pPr>
              <w:ind w:left="660"/>
              <w:spacing w:after="0" w:line="202" w:lineRule="exact"/>
              <w:rPr>
                <w:sz w:val="20"/>
                <w:szCs w:val="20"/>
                <w:color w:val="auto"/>
              </w:rPr>
            </w:pPr>
            <w:r>
              <w:rPr>
                <w:rFonts w:ascii="Arial" w:cs="Arial" w:eastAsia="Arial" w:hAnsi="Arial"/>
                <w:sz w:val="18"/>
                <w:szCs w:val="18"/>
                <w:color w:val="auto"/>
              </w:rPr>
              <w:t>der Begriff "Mitglieder der</w:t>
            </w:r>
          </w:p>
        </w:tc>
      </w:tr>
      <w:tr>
        <w:trPr>
          <w:trHeight w:val="239"/>
        </w:trPr>
        <w:tc>
          <w:tcPr>
            <w:tcW w:w="1360" w:type="dxa"/>
            <w:vAlign w:val="bottom"/>
          </w:tcPr>
          <w:p>
            <w:pPr>
              <w:spacing w:after="0"/>
              <w:rPr>
                <w:sz w:val="20"/>
                <w:szCs w:val="20"/>
                <w:color w:val="auto"/>
              </w:rPr>
            </w:pPr>
          </w:p>
        </w:tc>
        <w:tc>
          <w:tcPr>
            <w:tcW w:w="3620" w:type="dxa"/>
            <w:vAlign w:val="bottom"/>
          </w:tcPr>
          <w:p>
            <w:pPr>
              <w:ind w:left="660"/>
              <w:spacing w:after="0"/>
              <w:rPr>
                <w:sz w:val="20"/>
                <w:szCs w:val="20"/>
                <w:color w:val="auto"/>
              </w:rPr>
            </w:pPr>
            <w:r>
              <w:rPr>
                <w:rFonts w:ascii="Arial" w:cs="Arial" w:eastAsia="Arial" w:hAnsi="Arial"/>
                <w:sz w:val="18"/>
                <w:szCs w:val="18"/>
                <w:color w:val="auto"/>
              </w:rPr>
              <w:t>Geschäftsleitung"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494665</wp:posOffset>
            </wp:positionV>
            <wp:extent cx="629221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spacing w:after="0"/>
        <w:tabs>
          <w:tab w:leader="none" w:pos="1040" w:val="left"/>
        </w:tabs>
        <w:rPr>
          <w:sz w:val="20"/>
          <w:szCs w:val="20"/>
          <w:color w:val="auto"/>
        </w:rPr>
      </w:pPr>
      <w:r>
        <w:rPr>
          <w:rFonts w:ascii="Arial" w:cs="Arial" w:eastAsia="Arial" w:hAnsi="Arial"/>
          <w:sz w:val="14"/>
          <w:szCs w:val="14"/>
          <w:color w:val="auto"/>
        </w:rPr>
        <w:t>Executive</w:t>
      </w:r>
      <w:r>
        <w:rPr>
          <w:sz w:val="20"/>
          <w:szCs w:val="20"/>
          <w:color w:val="auto"/>
        </w:rPr>
        <w:tab/>
      </w:r>
      <w:r>
        <w:rPr>
          <w:rFonts w:ascii="Arial" w:cs="Arial" w:eastAsia="Arial" w:hAnsi="Arial"/>
          <w:sz w:val="14"/>
          <w:szCs w:val="14"/>
          <w:color w:val="auto"/>
        </w:rPr>
        <w:t>2b</w:t>
      </w:r>
    </w:p>
    <w:p>
      <w:pPr>
        <w:spacing w:after="0" w:line="15" w:lineRule="exact"/>
        <w:rPr>
          <w:sz w:val="20"/>
          <w:szCs w:val="20"/>
          <w:color w:val="auto"/>
        </w:rPr>
      </w:pPr>
    </w:p>
    <w:p>
      <w:pPr>
        <w:ind w:right="380"/>
        <w:spacing w:after="0" w:line="264" w:lineRule="auto"/>
        <w:rPr>
          <w:sz w:val="20"/>
          <w:szCs w:val="20"/>
          <w:color w:val="auto"/>
        </w:rPr>
      </w:pPr>
      <w:r>
        <w:rPr>
          <w:rFonts w:ascii="Arial" w:cs="Arial" w:eastAsia="Arial" w:hAnsi="Arial"/>
          <w:sz w:val="14"/>
          <w:szCs w:val="14"/>
          <w:color w:val="auto"/>
        </w:rPr>
        <w:t>Management Team</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 xml:space="preserve">The term </w:t>
      </w:r>
      <w:r>
        <w:rPr>
          <w:rFonts w:ascii="Arial" w:cs="Arial" w:eastAsia="Arial" w:hAnsi="Arial"/>
          <w:sz w:val="18"/>
          <w:szCs w:val="18"/>
          <w:b w:val="1"/>
          <w:bCs w:val="1"/>
          <w:color w:val="auto"/>
        </w:rPr>
        <w:t>Executive</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Management Team </w:t>
      </w:r>
      <w:r>
        <w:rPr>
          <w:rFonts w:ascii="Arial" w:cs="Arial" w:eastAsia="Arial" w:hAnsi="Arial"/>
          <w:sz w:val="18"/>
          <w:szCs w:val="18"/>
          <w:color w:val="auto"/>
        </w:rPr>
        <w:t>has the</w:t>
      </w:r>
      <w:r>
        <w:rPr>
          <w:rFonts w:ascii="Arial" w:cs="Arial" w:eastAsia="Arial" w:hAnsi="Arial"/>
          <w:sz w:val="18"/>
          <w:szCs w:val="18"/>
          <w:b w:val="1"/>
          <w:bCs w:val="1"/>
          <w:color w:val="auto"/>
        </w:rPr>
        <w:t xml:space="preserve"> </w:t>
      </w:r>
      <w:r>
        <w:rPr>
          <w:rFonts w:ascii="Arial" w:cs="Arial" w:eastAsia="Arial" w:hAnsi="Arial"/>
          <w:sz w:val="18"/>
          <w:szCs w:val="18"/>
          <w:color w:val="auto"/>
        </w:rPr>
        <w:t>meaning assigned to it in Article 26 of these Articles of Association. In relation to Article 20 para. 3 and the definitions pertaining thereto as set forth in this Section 8 and Article 24 para. 3 and para. 4, the term "officer" shall</w:t>
      </w:r>
    </w:p>
    <w:p>
      <w:pPr>
        <w:sectPr>
          <w:pgSz w:w="11900" w:h="16838" w:orient="portrait"/>
          <w:cols w:equalWidth="0" w:num="3">
            <w:col w:w="4980" w:space="160"/>
            <w:col w:w="1220" w:space="240"/>
            <w:col w:w="2720"/>
          </w:cols>
          <w:pgMar w:left="1220" w:top="670" w:right="1359" w:bottom="1440" w:gutter="0" w:footer="0" w:header="0"/>
          <w:type w:val="continuous"/>
        </w:sectPr>
      </w:pPr>
    </w:p>
    <w:bookmarkStart w:id="50" w:name="page51"/>
    <w:bookmarkEnd w:id="50"/>
    <w:p>
      <w:pPr>
        <w:jc w:val="center"/>
        <w:ind w:right="-299"/>
        <w:spacing w:after="0"/>
        <w:rPr>
          <w:sz w:val="20"/>
          <w:szCs w:val="20"/>
          <w:color w:val="auto"/>
        </w:rPr>
      </w:pPr>
      <w:r>
        <w:rPr>
          <w:rFonts w:ascii="Arial" w:cs="Arial" w:eastAsia="Arial" w:hAnsi="Arial"/>
          <w:sz w:val="13"/>
          <w:szCs w:val="13"/>
          <w:color w:val="auto"/>
        </w:rPr>
        <w:t>- 43 -</w:t>
      </w:r>
    </w:p>
    <w:p>
      <w:pPr>
        <w:sectPr>
          <w:pgSz w:w="11900" w:h="16838" w:orient="portrait"/>
          <w:cols w:equalWidth="0" w:num="1">
            <w:col w:w="9340"/>
          </w:cols>
          <w:pgMar w:left="1220" w:top="670"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140" w:type="dxa"/>
            <w:vAlign w:val="bottom"/>
          </w:tcPr>
          <w:p>
            <w:pPr>
              <w:ind w:left="180"/>
              <w:spacing w:after="0"/>
              <w:rPr>
                <w:sz w:val="20"/>
                <w:szCs w:val="20"/>
                <w:color w:val="auto"/>
              </w:rPr>
            </w:pPr>
            <w:r>
              <w:rPr>
                <w:rFonts w:ascii="Arial" w:cs="Arial" w:eastAsia="Arial" w:hAnsi="Arial"/>
                <w:sz w:val="18"/>
                <w:szCs w:val="18"/>
                <w:color w:val="auto"/>
              </w:rPr>
              <w:t>weiterhin als Bezugnahme auf alle</w:t>
            </w:r>
          </w:p>
        </w:tc>
      </w:tr>
      <w:tr>
        <w:trPr>
          <w:trHeight w:val="203"/>
        </w:trPr>
        <w:tc>
          <w:tcPr>
            <w:tcW w:w="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140" w:type="dxa"/>
            <w:vAlign w:val="bottom"/>
          </w:tcPr>
          <w:p>
            <w:pPr>
              <w:ind w:left="180"/>
              <w:spacing w:after="0" w:line="202" w:lineRule="exact"/>
              <w:rPr>
                <w:sz w:val="20"/>
                <w:szCs w:val="20"/>
                <w:color w:val="auto"/>
              </w:rPr>
            </w:pPr>
            <w:r>
              <w:rPr>
                <w:rFonts w:ascii="Arial" w:cs="Arial" w:eastAsia="Arial" w:hAnsi="Arial"/>
                <w:sz w:val="18"/>
                <w:szCs w:val="18"/>
                <w:color w:val="auto"/>
              </w:rPr>
              <w:t>Mitglieder der Geschäftsleitung</w:t>
            </w:r>
          </w:p>
        </w:tc>
      </w:tr>
      <w:tr>
        <w:trPr>
          <w:trHeight w:val="203"/>
        </w:trPr>
        <w:tc>
          <w:tcPr>
            <w:tcW w:w="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140" w:type="dxa"/>
            <w:vAlign w:val="bottom"/>
          </w:tcPr>
          <w:p>
            <w:pPr>
              <w:ind w:left="180"/>
              <w:spacing w:after="0" w:line="202" w:lineRule="exact"/>
              <w:rPr>
                <w:sz w:val="20"/>
                <w:szCs w:val="20"/>
                <w:color w:val="auto"/>
              </w:rPr>
            </w:pPr>
            <w:r>
              <w:rPr>
                <w:rFonts w:ascii="Arial" w:cs="Arial" w:eastAsia="Arial" w:hAnsi="Arial"/>
                <w:sz w:val="18"/>
                <w:szCs w:val="18"/>
                <w:color w:val="auto"/>
                <w:w w:val="98"/>
              </w:rPr>
              <w:t>zusammen mit allen anderen Officers</w:t>
            </w:r>
          </w:p>
        </w:tc>
      </w:tr>
      <w:tr>
        <w:trPr>
          <w:trHeight w:val="239"/>
        </w:trPr>
        <w:tc>
          <w:tcPr>
            <w:tcW w:w="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140" w:type="dxa"/>
            <w:vAlign w:val="bottom"/>
          </w:tcPr>
          <w:p>
            <w:pPr>
              <w:ind w:left="180"/>
              <w:spacing w:after="0"/>
              <w:rPr>
                <w:sz w:val="20"/>
                <w:szCs w:val="20"/>
                <w:color w:val="auto"/>
              </w:rPr>
            </w:pPr>
            <w:r>
              <w:rPr>
                <w:rFonts w:ascii="Arial" w:cs="Arial" w:eastAsia="Arial" w:hAnsi="Arial"/>
                <w:sz w:val="18"/>
                <w:szCs w:val="18"/>
                <w:color w:val="auto"/>
              </w:rPr>
              <w:t>der Gesellschaft zu verstehen.</w:t>
            </w:r>
          </w:p>
        </w:tc>
      </w:tr>
      <w:tr>
        <w:trPr>
          <w:trHeight w:val="274"/>
        </w:trPr>
        <w:tc>
          <w:tcPr>
            <w:tcW w:w="940" w:type="dxa"/>
            <w:vAlign w:val="bottom"/>
          </w:tcPr>
          <w:p>
            <w:pPr>
              <w:spacing w:after="0"/>
              <w:rPr>
                <w:sz w:val="20"/>
                <w:szCs w:val="20"/>
                <w:color w:val="auto"/>
              </w:rPr>
            </w:pPr>
            <w:r>
              <w:rPr>
                <w:rFonts w:ascii="Arial" w:cs="Arial" w:eastAsia="Arial" w:hAnsi="Arial"/>
                <w:sz w:val="14"/>
                <w:szCs w:val="14"/>
                <w:color w:val="auto"/>
              </w:rPr>
              <w:t>Gesellschaft</w:t>
            </w:r>
          </w:p>
        </w:tc>
        <w:tc>
          <w:tcPr>
            <w:tcW w:w="36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3140" w:type="dxa"/>
            <w:vAlign w:val="bottom"/>
          </w:tcPr>
          <w:p>
            <w:pPr>
              <w:ind w:left="180"/>
              <w:spacing w:after="0"/>
              <w:rPr>
                <w:sz w:val="20"/>
                <w:szCs w:val="20"/>
                <w:color w:val="auto"/>
              </w:rPr>
            </w:pPr>
            <w:r>
              <w:rPr>
                <w:rFonts w:ascii="Arial" w:cs="Arial" w:eastAsia="Arial" w:hAnsi="Arial"/>
                <w:sz w:val="18"/>
                <w:szCs w:val="18"/>
                <w:color w:val="auto"/>
              </w:rPr>
              <w:t xml:space="preserve">Der Begriff </w:t>
            </w:r>
            <w:r>
              <w:rPr>
                <w:rFonts w:ascii="Arial" w:cs="Arial" w:eastAsia="Arial" w:hAnsi="Arial"/>
                <w:sz w:val="18"/>
                <w:szCs w:val="18"/>
                <w:b w:val="1"/>
                <w:bCs w:val="1"/>
                <w:color w:val="auto"/>
              </w:rPr>
              <w:t>Gesellschaft</w:t>
            </w:r>
            <w:r>
              <w:rPr>
                <w:rFonts w:ascii="Arial" w:cs="Arial" w:eastAsia="Arial" w:hAnsi="Arial"/>
                <w:sz w:val="18"/>
                <w:szCs w:val="18"/>
                <w:color w:val="auto"/>
              </w:rPr>
              <w:t xml:space="preserve"> hat die in</w:t>
            </w:r>
          </w:p>
        </w:tc>
      </w:tr>
      <w:tr>
        <w:trPr>
          <w:trHeight w:val="203"/>
        </w:trPr>
        <w:tc>
          <w:tcPr>
            <w:tcW w:w="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140" w:type="dxa"/>
            <w:vAlign w:val="bottom"/>
          </w:tcPr>
          <w:p>
            <w:pPr>
              <w:ind w:left="180"/>
              <w:spacing w:after="0" w:line="202" w:lineRule="exact"/>
              <w:rPr>
                <w:sz w:val="20"/>
                <w:szCs w:val="20"/>
                <w:color w:val="auto"/>
              </w:rPr>
            </w:pPr>
            <w:r>
              <w:rPr>
                <w:rFonts w:ascii="Arial" w:cs="Arial" w:eastAsia="Arial" w:hAnsi="Arial"/>
                <w:sz w:val="18"/>
                <w:szCs w:val="18"/>
                <w:color w:val="auto"/>
              </w:rPr>
              <w:t>Artikel 1 dieser Statuten aufgeführte</w:t>
            </w:r>
          </w:p>
        </w:tc>
      </w:tr>
      <w:tr>
        <w:trPr>
          <w:trHeight w:val="239"/>
        </w:trPr>
        <w:tc>
          <w:tcPr>
            <w:tcW w:w="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140" w:type="dxa"/>
            <w:vAlign w:val="bottom"/>
          </w:tcPr>
          <w:p>
            <w:pPr>
              <w:ind w:left="180"/>
              <w:spacing w:after="0"/>
              <w:rPr>
                <w:sz w:val="20"/>
                <w:szCs w:val="20"/>
                <w:color w:val="auto"/>
              </w:rPr>
            </w:pPr>
            <w:r>
              <w:rPr>
                <w:rFonts w:ascii="Arial" w:cs="Arial" w:eastAsia="Arial" w:hAnsi="Arial"/>
                <w:sz w:val="18"/>
                <w:szCs w:val="18"/>
                <w:color w:val="auto"/>
              </w:rPr>
              <w:t>Bedeutung.</w:t>
            </w:r>
          </w:p>
        </w:tc>
      </w:tr>
      <w:tr>
        <w:trPr>
          <w:trHeight w:val="252"/>
        </w:trPr>
        <w:tc>
          <w:tcPr>
            <w:tcW w:w="940" w:type="dxa"/>
            <w:vAlign w:val="bottom"/>
          </w:tcPr>
          <w:p>
            <w:pPr>
              <w:spacing w:after="0"/>
              <w:rPr>
                <w:sz w:val="20"/>
                <w:szCs w:val="20"/>
                <w:color w:val="auto"/>
              </w:rPr>
            </w:pPr>
            <w:r>
              <w:rPr>
                <w:rFonts w:ascii="Arial" w:cs="Arial" w:eastAsia="Arial" w:hAnsi="Arial"/>
                <w:sz w:val="14"/>
                <w:szCs w:val="14"/>
                <w:color w:val="auto"/>
              </w:rPr>
              <w:t>Kontrolle</w:t>
            </w:r>
          </w:p>
        </w:tc>
        <w:tc>
          <w:tcPr>
            <w:tcW w:w="36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3140" w:type="dxa"/>
            <w:vAlign w:val="bottom"/>
          </w:tcPr>
          <w:p>
            <w:pPr>
              <w:ind w:left="100"/>
              <w:spacing w:after="0"/>
              <w:rPr>
                <w:sz w:val="20"/>
                <w:szCs w:val="20"/>
                <w:color w:val="auto"/>
              </w:rPr>
            </w:pPr>
            <w:r>
              <w:rPr>
                <w:rFonts w:ascii="Arial" w:cs="Arial" w:eastAsia="Arial" w:hAnsi="Arial"/>
                <w:sz w:val="18"/>
                <w:szCs w:val="18"/>
                <w:b w:val="1"/>
                <w:bCs w:val="1"/>
                <w:color w:val="auto"/>
              </w:rPr>
              <w:t>Kontrolle</w:t>
            </w:r>
            <w:r>
              <w:rPr>
                <w:rFonts w:ascii="Arial" w:cs="Arial" w:eastAsia="Arial" w:hAnsi="Arial"/>
                <w:sz w:val="18"/>
                <w:szCs w:val="18"/>
                <w:color w:val="auto"/>
              </w:rPr>
              <w:t>, einschliesslich die Begriffe</w:t>
            </w:r>
          </w:p>
        </w:tc>
      </w:tr>
    </w:tbl>
    <w:p>
      <w:pPr>
        <w:ind w:left="1400"/>
        <w:spacing w:after="0" w:line="250" w:lineRule="auto"/>
        <w:rPr>
          <w:sz w:val="20"/>
          <w:szCs w:val="20"/>
          <w:color w:val="auto"/>
        </w:rPr>
      </w:pPr>
      <w:r>
        <w:rPr>
          <w:rFonts w:ascii="Arial" w:cs="Arial" w:eastAsia="Arial" w:hAnsi="Arial"/>
          <w:sz w:val="18"/>
          <w:szCs w:val="18"/>
          <w:b w:val="1"/>
          <w:bCs w:val="1"/>
          <w:color w:val="auto"/>
        </w:rPr>
        <w:t>kontrollierend</w:t>
      </w:r>
      <w:r>
        <w:rPr>
          <w:rFonts w:ascii="Arial" w:cs="Arial" w:eastAsia="Arial" w:hAnsi="Arial"/>
          <w:sz w:val="18"/>
          <w:szCs w:val="18"/>
          <w:color w:val="auto"/>
        </w:rPr>
        <w:t>,</w:t>
      </w:r>
      <w:r>
        <w:rPr>
          <w:rFonts w:ascii="Arial" w:cs="Arial" w:eastAsia="Arial" w:hAnsi="Arial"/>
          <w:sz w:val="18"/>
          <w:szCs w:val="18"/>
          <w:b w:val="1"/>
          <w:bCs w:val="1"/>
          <w:color w:val="auto"/>
        </w:rPr>
        <w:t xml:space="preserve"> kontrolliert von </w:t>
      </w:r>
      <w:r>
        <w:rPr>
          <w:rFonts w:ascii="Arial" w:cs="Arial" w:eastAsia="Arial" w:hAnsi="Arial"/>
          <w:sz w:val="18"/>
          <w:szCs w:val="18"/>
          <w:color w:val="auto"/>
        </w:rPr>
        <w:t>und</w:t>
      </w:r>
      <w:r>
        <w:rPr>
          <w:rFonts w:ascii="Arial" w:cs="Arial" w:eastAsia="Arial" w:hAnsi="Arial"/>
          <w:sz w:val="18"/>
          <w:szCs w:val="18"/>
          <w:b w:val="1"/>
          <w:bCs w:val="1"/>
          <w:color w:val="auto"/>
        </w:rPr>
        <w:t xml:space="preserve"> unter gemeinsamer Kontrolle mit</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bedeutet die Möglichkeit, direkt oder indirekt auf die Geschäftsführung und die Geschäftspolitik einer Person Einfluss zu nehmen, sei es aufgrund des Haltens von Stimmrechten, eines Vertrags oder auf andere Weise. Eine Person, welche 20% oder mehr der ausgegebenen oder ausstehenden Stimmrechte einer Kapitalgesellschaft, rechts- oder nicht-rechtsfähigen Personengesellschaft oder eines anderen Rechtsträgers hält, hat mangels Nachweises des Gegenteils unter Anwendung des Beweismasses der überwiegenden Wahrscheinlichkeit der Beweismittel vermutungsweise Kontrolle über einen solchen Rechtsträger. Ungeachtet des Voranstehenden gilt diese Vermutung der Kontrolle nicht, wenn eine Person in Treu und Glauben und nicht zur Umgehung dieser Bestimmung Stimmrechte als Stellvertreter (</w:t>
      </w:r>
      <w:r>
        <w:rPr>
          <w:rFonts w:ascii="Arial" w:cs="Arial" w:eastAsia="Arial" w:hAnsi="Arial"/>
          <w:sz w:val="18"/>
          <w:szCs w:val="18"/>
          <w:i w:val="1"/>
          <w:iCs w:val="1"/>
          <w:color w:val="auto"/>
        </w:rPr>
        <w:t>agent</w:t>
      </w:r>
      <w:r>
        <w:rPr>
          <w:rFonts w:ascii="Arial" w:cs="Arial" w:eastAsia="Arial" w:hAnsi="Arial"/>
          <w:sz w:val="18"/>
          <w:szCs w:val="18"/>
          <w:color w:val="auto"/>
        </w:rPr>
        <w:t>), Bank, Börsenmakler (</w:t>
      </w:r>
      <w:r>
        <w:rPr>
          <w:rFonts w:ascii="Arial" w:cs="Arial" w:eastAsia="Arial" w:hAnsi="Arial"/>
          <w:sz w:val="18"/>
          <w:szCs w:val="18"/>
          <w:i w:val="1"/>
          <w:iCs w:val="1"/>
          <w:color w:val="auto"/>
        </w:rPr>
        <w:t>broker</w:t>
      </w:r>
      <w:r>
        <w:rPr>
          <w:rFonts w:ascii="Arial" w:cs="Arial" w:eastAsia="Arial" w:hAnsi="Arial"/>
          <w:sz w:val="18"/>
          <w:szCs w:val="18"/>
          <w:color w:val="auto"/>
        </w:rPr>
        <w:t>), Nominee, Depotbank (</w:t>
      </w:r>
      <w:r>
        <w:rPr>
          <w:rFonts w:ascii="Arial" w:cs="Arial" w:eastAsia="Arial" w:hAnsi="Arial"/>
          <w:sz w:val="18"/>
          <w:szCs w:val="18"/>
          <w:i w:val="1"/>
          <w:iCs w:val="1"/>
          <w:color w:val="auto"/>
        </w:rPr>
        <w:t>custodian</w:t>
      </w:r>
      <w:r>
        <w:rPr>
          <w:rFonts w:ascii="Arial" w:cs="Arial" w:eastAsia="Arial" w:hAnsi="Arial"/>
          <w:sz w:val="18"/>
          <w:szCs w:val="18"/>
          <w:color w:val="auto"/>
        </w:rPr>
        <w:t>) oder Treuhänder (</w:t>
      </w:r>
      <w:r>
        <w:rPr>
          <w:rFonts w:ascii="Arial" w:cs="Arial" w:eastAsia="Arial" w:hAnsi="Arial"/>
          <w:sz w:val="18"/>
          <w:szCs w:val="18"/>
          <w:i w:val="1"/>
          <w:iCs w:val="1"/>
          <w:color w:val="auto"/>
        </w:rPr>
        <w:t>trustee</w:t>
      </w:r>
      <w:r>
        <w:rPr>
          <w:rFonts w:ascii="Arial" w:cs="Arial" w:eastAsia="Arial" w:hAnsi="Arial"/>
          <w:sz w:val="18"/>
          <w:szCs w:val="18"/>
          <w:color w:val="auto"/>
        </w:rPr>
        <w:t>) für einen oder mehrere Eigentümer hält, die für sich allein oder zusammen als Gruppe keine Kontrolle über den betreffenden Rechtsträger haben.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4"/>
          <w:szCs w:val="14"/>
          <w:color w:val="auto"/>
        </w:rPr>
        <w:t>Company</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4"/>
          <w:szCs w:val="14"/>
          <w:color w:val="auto"/>
        </w:rPr>
        <w:t>Control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0" w:lineRule="exact"/>
        <w:rPr>
          <w:sz w:val="20"/>
          <w:szCs w:val="20"/>
          <w:color w:val="auto"/>
        </w:rPr>
      </w:pPr>
    </w:p>
    <w:p>
      <w:pPr>
        <w:ind w:left="404" w:right="320"/>
        <w:spacing w:after="0" w:line="247" w:lineRule="auto"/>
        <w:rPr>
          <w:sz w:val="20"/>
          <w:szCs w:val="20"/>
          <w:color w:val="auto"/>
        </w:rPr>
      </w:pPr>
      <w:r>
        <w:rPr>
          <w:rFonts w:ascii="Arial" w:cs="Arial" w:eastAsia="Arial" w:hAnsi="Arial"/>
          <w:sz w:val="18"/>
          <w:szCs w:val="18"/>
          <w:color w:val="auto"/>
        </w:rPr>
        <w:t>continue to be a reference to the members of the Executive Management Team together with all other officers of the Company.</w:t>
      </w:r>
    </w:p>
    <w:p>
      <w:pPr>
        <w:spacing w:after="0" w:line="66" w:lineRule="exact"/>
        <w:rPr>
          <w:sz w:val="20"/>
          <w:szCs w:val="20"/>
          <w:color w:val="auto"/>
        </w:rPr>
      </w:pPr>
    </w:p>
    <w:p>
      <w:pPr>
        <w:ind w:left="404" w:right="200" w:hanging="404"/>
        <w:spacing w:after="0" w:line="206" w:lineRule="auto"/>
        <w:tabs>
          <w:tab w:leader="none" w:pos="404" w:val="left"/>
        </w:tabs>
        <w:numPr>
          <w:ilvl w:val="0"/>
          <w:numId w:val="199"/>
        </w:numPr>
        <w:rPr>
          <w:rFonts w:ascii="Arial" w:cs="Arial" w:eastAsia="Arial" w:hAnsi="Arial"/>
          <w:sz w:val="29"/>
          <w:szCs w:val="29"/>
          <w:color w:val="auto"/>
          <w:vertAlign w:val="superscript"/>
        </w:rPr>
      </w:pPr>
      <w:r>
        <w:rPr>
          <w:rFonts w:ascii="Arial" w:cs="Arial" w:eastAsia="Arial" w:hAnsi="Arial"/>
          <w:sz w:val="18"/>
          <w:szCs w:val="18"/>
          <w:color w:val="auto"/>
        </w:rPr>
        <w:t xml:space="preserve">The term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has the meaning assigned to it in Article 1 of these Articles of Association.</w:t>
      </w:r>
    </w:p>
    <w:p>
      <w:pPr>
        <w:spacing w:after="0" w:line="20" w:lineRule="exact"/>
        <w:rPr>
          <w:sz w:val="20"/>
          <w:szCs w:val="20"/>
          <w:color w:val="auto"/>
        </w:rPr>
      </w:pPr>
    </w:p>
    <w:p>
      <w:pPr>
        <w:ind w:left="304" w:hanging="304"/>
        <w:spacing w:after="0" w:line="259" w:lineRule="auto"/>
        <w:tabs>
          <w:tab w:leader="none" w:pos="304" w:val="left"/>
        </w:tabs>
        <w:numPr>
          <w:ilvl w:val="0"/>
          <w:numId w:val="200"/>
        </w:numPr>
        <w:rPr>
          <w:rFonts w:ascii="Arial" w:cs="Arial" w:eastAsia="Arial" w:hAnsi="Arial"/>
          <w:sz w:val="28"/>
          <w:szCs w:val="28"/>
          <w:color w:val="auto"/>
          <w:vertAlign w:val="subscript"/>
        </w:rPr>
      </w:pPr>
      <w:r>
        <w:rPr>
          <w:rFonts w:ascii="Arial" w:cs="Arial" w:eastAsia="Arial" w:hAnsi="Arial"/>
          <w:sz w:val="17"/>
          <w:szCs w:val="17"/>
          <w:b w:val="1"/>
          <w:bCs w:val="1"/>
          <w:color w:val="auto"/>
        </w:rPr>
        <w:t>Control</w:t>
      </w:r>
      <w:r>
        <w:rPr>
          <w:rFonts w:ascii="Arial" w:cs="Arial" w:eastAsia="Arial" w:hAnsi="Arial"/>
          <w:sz w:val="17"/>
          <w:szCs w:val="17"/>
          <w:color w:val="auto"/>
        </w:rPr>
        <w:t>, including the terms</w:t>
      </w:r>
      <w:r>
        <w:rPr>
          <w:rFonts w:ascii="Arial" w:cs="Arial" w:eastAsia="Arial" w:hAnsi="Arial"/>
          <w:sz w:val="17"/>
          <w:szCs w:val="17"/>
          <w:b w:val="1"/>
          <w:bCs w:val="1"/>
          <w:color w:val="auto"/>
        </w:rPr>
        <w:t xml:space="preserve"> controlling</w:t>
      </w:r>
      <w:r>
        <w:rPr>
          <w:rFonts w:ascii="Arial" w:cs="Arial" w:eastAsia="Arial" w:hAnsi="Arial"/>
          <w:sz w:val="17"/>
          <w:szCs w:val="17"/>
          <w:color w:val="auto"/>
        </w:rPr>
        <w:t>,</w:t>
      </w:r>
      <w:r>
        <w:rPr>
          <w:rFonts w:ascii="Arial" w:cs="Arial" w:eastAsia="Arial" w:hAnsi="Arial"/>
          <w:sz w:val="17"/>
          <w:szCs w:val="17"/>
          <w:b w:val="1"/>
          <w:bCs w:val="1"/>
          <w:color w:val="auto"/>
        </w:rPr>
        <w:t xml:space="preserve"> controlled by </w:t>
      </w:r>
      <w:r>
        <w:rPr>
          <w:rFonts w:ascii="Arial" w:cs="Arial" w:eastAsia="Arial" w:hAnsi="Arial"/>
          <w:sz w:val="17"/>
          <w:szCs w:val="17"/>
          <w:color w:val="auto"/>
        </w:rPr>
        <w:t>and</w:t>
      </w:r>
      <w:r>
        <w:rPr>
          <w:rFonts w:ascii="Arial" w:cs="Arial" w:eastAsia="Arial" w:hAnsi="Arial"/>
          <w:sz w:val="17"/>
          <w:szCs w:val="17"/>
          <w:b w:val="1"/>
          <w:bCs w:val="1"/>
          <w:color w:val="auto"/>
        </w:rPr>
        <w:t xml:space="preserve"> under common control </w:t>
      </w:r>
      <w:r>
        <w:rPr>
          <w:rFonts w:ascii="Arial" w:cs="Arial" w:eastAsia="Arial" w:hAnsi="Arial"/>
          <w:sz w:val="17"/>
          <w:szCs w:val="17"/>
          <w:color w:val="auto"/>
        </w:rPr>
        <w:t>with, means the possession,</w:t>
      </w:r>
      <w:r>
        <w:rPr>
          <w:rFonts w:ascii="Arial" w:cs="Arial" w:eastAsia="Arial" w:hAnsi="Arial"/>
          <w:sz w:val="17"/>
          <w:szCs w:val="17"/>
          <w:b w:val="1"/>
          <w:bCs w:val="1"/>
          <w:color w:val="auto"/>
        </w:rPr>
        <w:t xml:space="preserve"> </w:t>
      </w:r>
      <w:r>
        <w:rPr>
          <w:rFonts w:ascii="Arial" w:cs="Arial" w:eastAsia="Arial" w:hAnsi="Arial"/>
          <w:sz w:val="17"/>
          <w:szCs w:val="17"/>
          <w:color w:val="auto"/>
        </w:rPr>
        <w:t>direct or indirect, of the power to direct or cause the direction of the management and policies of a Person, whether through the Ownership of voting shares, by contract, or otherwise. A Person who is the Owner of 20% or more of the issued or outstanding voting shares of any corporation, partnership, unincorporated association or other entity shall be presumed to have control of such entity, in the absence of proof by a preponderance of the evidence to the contrary. Notwithstanding the foregoing, a presumption of control shall not apply where such Person holds voting shares, in good faith and not for the purpose of circumventing this provision, as an agent, bank, broker, nominee, custodian or trustee for one or more Owners who do not individually or as a group have control of such entity.</w:t>
      </w:r>
    </w:p>
    <w:p>
      <w:pPr>
        <w:spacing w:after="0" w:line="2115" w:lineRule="exact"/>
        <w:rPr>
          <w:sz w:val="20"/>
          <w:szCs w:val="20"/>
          <w:color w:val="auto"/>
        </w:rPr>
      </w:pPr>
    </w:p>
    <w:p>
      <w:pPr>
        <w:sectPr>
          <w:pgSz w:w="11900" w:h="16838" w:orient="portrait"/>
          <w:cols w:equalWidth="0" w:num="3">
            <w:col w:w="4700" w:space="140"/>
            <w:col w:w="620" w:space="296"/>
            <w:col w:w="3584"/>
          </w:cols>
          <w:pgMar w:left="1220" w:top="670" w:right="1339" w:bottom="1440" w:gutter="0" w:footer="0" w:header="0"/>
          <w:type w:val="continuous"/>
        </w:sectPr>
      </w:pPr>
    </w:p>
    <w:tbl>
      <w:tblPr>
        <w:tblLayout w:type="fixed"/>
        <w:tblInd w:w="0" w:type="dxa"/>
        <w:tblCellMar>
          <w:top w:w="0" w:type="dxa"/>
          <w:left w:w="0" w:type="dxa"/>
          <w:bottom w:w="0" w:type="dxa"/>
          <w:right w:w="0" w:type="dxa"/>
        </w:tblCellMar>
      </w:tblPr>
      <w:tr>
        <w:trPr>
          <w:trHeight w:val="366"/>
        </w:trPr>
        <w:tc>
          <w:tcPr>
            <w:tcW w:w="800" w:type="dxa"/>
            <w:vAlign w:val="bottom"/>
          </w:tcPr>
          <w:p>
            <w:pPr>
              <w:spacing w:after="0"/>
              <w:rPr>
                <w:sz w:val="20"/>
                <w:szCs w:val="20"/>
                <w:color w:val="auto"/>
              </w:rPr>
            </w:pPr>
            <w:r>
              <w:rPr>
                <w:rFonts w:ascii="Arial" w:cs="Arial" w:eastAsia="Arial" w:hAnsi="Arial"/>
                <w:sz w:val="14"/>
                <w:szCs w:val="14"/>
                <w:color w:val="auto"/>
              </w:rPr>
              <w:t>Mandat</w:t>
            </w:r>
          </w:p>
        </w:tc>
        <w:tc>
          <w:tcPr>
            <w:tcW w:w="540" w:type="dxa"/>
            <w:vAlign w:val="bottom"/>
          </w:tcPr>
          <w:p>
            <w:pPr>
              <w:ind w:left="320"/>
              <w:spacing w:after="0"/>
              <w:rPr>
                <w:sz w:val="20"/>
                <w:szCs w:val="20"/>
                <w:color w:val="auto"/>
              </w:rPr>
            </w:pPr>
            <w:r>
              <w:rPr>
                <w:rFonts w:ascii="Arial" w:cs="Arial" w:eastAsia="Arial" w:hAnsi="Arial"/>
                <w:sz w:val="14"/>
                <w:szCs w:val="14"/>
                <w:color w:val="auto"/>
              </w:rPr>
              <w:t>4a</w:t>
            </w:r>
          </w:p>
        </w:tc>
        <w:tc>
          <w:tcPr>
            <w:tcW w:w="4240" w:type="dxa"/>
            <w:vAlign w:val="bottom"/>
          </w:tcPr>
          <w:p>
            <w:pPr>
              <w:ind w:left="60"/>
              <w:spacing w:after="0"/>
              <w:rPr>
                <w:sz w:val="20"/>
                <w:szCs w:val="20"/>
                <w:color w:val="auto"/>
              </w:rPr>
            </w:pPr>
            <w:r>
              <w:rPr>
                <w:rFonts w:ascii="Arial" w:cs="Arial" w:eastAsia="Arial" w:hAnsi="Arial"/>
                <w:sz w:val="18"/>
                <w:szCs w:val="18"/>
                <w:color w:val="auto"/>
              </w:rPr>
              <w:t xml:space="preserve">Der Begriff </w:t>
            </w:r>
            <w:r>
              <w:rPr>
                <w:rFonts w:ascii="Arial" w:cs="Arial" w:eastAsia="Arial" w:hAnsi="Arial"/>
                <w:sz w:val="18"/>
                <w:szCs w:val="18"/>
                <w:b w:val="1"/>
                <w:bCs w:val="1"/>
                <w:color w:val="auto"/>
              </w:rPr>
              <w:t>Mandat</w:t>
            </w:r>
            <w:r>
              <w:rPr>
                <w:rFonts w:ascii="Arial" w:cs="Arial" w:eastAsia="Arial" w:hAnsi="Arial"/>
                <w:sz w:val="18"/>
                <w:szCs w:val="18"/>
                <w:color w:val="auto"/>
              </w:rPr>
              <w:t xml:space="preserve"> hat die in Artikel 29e  </w:t>
            </w:r>
            <w:r>
              <w:rPr>
                <w:rFonts w:ascii="Arial" w:cs="Arial" w:eastAsia="Arial" w:hAnsi="Arial"/>
                <w:sz w:val="28"/>
                <w:szCs w:val="28"/>
                <w:color w:val="auto"/>
                <w:vertAlign w:val="subscript"/>
              </w:rPr>
              <w:t>Mandate</w:t>
            </w:r>
          </w:p>
        </w:tc>
        <w:tc>
          <w:tcPr>
            <w:tcW w:w="400" w:type="dxa"/>
            <w:vAlign w:val="bottom"/>
          </w:tcPr>
          <w:p>
            <w:pPr>
              <w:ind w:left="180"/>
              <w:spacing w:after="0"/>
              <w:rPr>
                <w:sz w:val="20"/>
                <w:szCs w:val="20"/>
                <w:color w:val="auto"/>
              </w:rPr>
            </w:pPr>
            <w:r>
              <w:rPr>
                <w:rFonts w:ascii="Arial" w:cs="Arial" w:eastAsia="Arial" w:hAnsi="Arial"/>
                <w:sz w:val="14"/>
                <w:szCs w:val="14"/>
                <w:color w:val="auto"/>
              </w:rPr>
              <w:t>4a</w:t>
            </w:r>
          </w:p>
        </w:tc>
        <w:tc>
          <w:tcPr>
            <w:tcW w:w="3040" w:type="dxa"/>
            <w:vAlign w:val="bottom"/>
          </w:tcPr>
          <w:p>
            <w:pPr>
              <w:ind w:left="80"/>
              <w:spacing w:after="0"/>
              <w:rPr>
                <w:sz w:val="20"/>
                <w:szCs w:val="20"/>
                <w:color w:val="auto"/>
              </w:rPr>
            </w:pPr>
            <w:r>
              <w:rPr>
                <w:rFonts w:ascii="Arial" w:cs="Arial" w:eastAsia="Arial" w:hAnsi="Arial"/>
                <w:sz w:val="18"/>
                <w:szCs w:val="18"/>
                <w:color w:val="auto"/>
              </w:rPr>
              <w:t xml:space="preserve">The term </w:t>
            </w:r>
            <w:r>
              <w:rPr>
                <w:rFonts w:ascii="Arial" w:cs="Arial" w:eastAsia="Arial" w:hAnsi="Arial"/>
                <w:sz w:val="18"/>
                <w:szCs w:val="18"/>
                <w:b w:val="1"/>
                <w:bCs w:val="1"/>
                <w:color w:val="auto"/>
              </w:rPr>
              <w:t>Mandate</w:t>
            </w:r>
            <w:r>
              <w:rPr>
                <w:rFonts w:ascii="Arial" w:cs="Arial" w:eastAsia="Arial" w:hAnsi="Arial"/>
                <w:sz w:val="18"/>
                <w:szCs w:val="18"/>
                <w:color w:val="auto"/>
              </w:rPr>
              <w:t xml:space="preserve"> has the meaning</w:t>
            </w:r>
          </w:p>
        </w:tc>
      </w:tr>
      <w:tr>
        <w:trPr>
          <w:trHeight w:val="198"/>
        </w:trPr>
        <w:tc>
          <w:tcPr>
            <w:tcW w:w="8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40" w:type="dxa"/>
            <w:vAlign w:val="bottom"/>
          </w:tcPr>
          <w:p>
            <w:pPr>
              <w:ind w:left="60"/>
              <w:spacing w:after="0" w:line="198" w:lineRule="exact"/>
              <w:rPr>
                <w:sz w:val="20"/>
                <w:szCs w:val="20"/>
                <w:color w:val="auto"/>
              </w:rPr>
            </w:pPr>
            <w:r>
              <w:rPr>
                <w:rFonts w:ascii="Arial" w:cs="Arial" w:eastAsia="Arial" w:hAnsi="Arial"/>
                <w:sz w:val="18"/>
                <w:szCs w:val="18"/>
                <w:color w:val="auto"/>
              </w:rPr>
              <w:t>Abs. 4 dieser Statuten aufgeführte</w:t>
            </w:r>
          </w:p>
        </w:tc>
        <w:tc>
          <w:tcPr>
            <w:tcW w:w="400" w:type="dxa"/>
            <w:vAlign w:val="bottom"/>
          </w:tcPr>
          <w:p>
            <w:pPr>
              <w:spacing w:after="0"/>
              <w:rPr>
                <w:sz w:val="17"/>
                <w:szCs w:val="17"/>
                <w:color w:val="auto"/>
              </w:rPr>
            </w:pPr>
          </w:p>
        </w:tc>
        <w:tc>
          <w:tcPr>
            <w:tcW w:w="3040" w:type="dxa"/>
            <w:vAlign w:val="bottom"/>
          </w:tcPr>
          <w:p>
            <w:pPr>
              <w:ind w:left="80"/>
              <w:spacing w:after="0" w:line="198" w:lineRule="exact"/>
              <w:rPr>
                <w:sz w:val="20"/>
                <w:szCs w:val="20"/>
                <w:color w:val="auto"/>
              </w:rPr>
            </w:pPr>
            <w:r>
              <w:rPr>
                <w:rFonts w:ascii="Arial" w:cs="Arial" w:eastAsia="Arial" w:hAnsi="Arial"/>
                <w:sz w:val="18"/>
                <w:szCs w:val="18"/>
                <w:color w:val="auto"/>
                <w:w w:val="99"/>
              </w:rPr>
              <w:t>assigned to it in Article 29e para. 4 of</w:t>
            </w:r>
          </w:p>
        </w:tc>
      </w:tr>
      <w:tr>
        <w:trPr>
          <w:trHeight w:val="239"/>
        </w:trPr>
        <w:tc>
          <w:tcPr>
            <w:tcW w:w="8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240" w:type="dxa"/>
            <w:vAlign w:val="bottom"/>
          </w:tcPr>
          <w:p>
            <w:pPr>
              <w:ind w:left="60"/>
              <w:spacing w:after="0"/>
              <w:rPr>
                <w:sz w:val="20"/>
                <w:szCs w:val="20"/>
                <w:color w:val="auto"/>
              </w:rPr>
            </w:pPr>
            <w:r>
              <w:rPr>
                <w:rFonts w:ascii="Arial" w:cs="Arial" w:eastAsia="Arial" w:hAnsi="Arial"/>
                <w:sz w:val="18"/>
                <w:szCs w:val="18"/>
                <w:color w:val="auto"/>
              </w:rPr>
              <w:t>Bedeutung.</w:t>
            </w:r>
          </w:p>
        </w:tc>
        <w:tc>
          <w:tcPr>
            <w:tcW w:w="400" w:type="dxa"/>
            <w:vAlign w:val="bottom"/>
          </w:tcPr>
          <w:p>
            <w:pPr>
              <w:spacing w:after="0"/>
              <w:rPr>
                <w:sz w:val="20"/>
                <w:szCs w:val="20"/>
                <w:color w:val="auto"/>
              </w:rPr>
            </w:pPr>
          </w:p>
        </w:tc>
        <w:tc>
          <w:tcPr>
            <w:tcW w:w="3040" w:type="dxa"/>
            <w:vAlign w:val="bottom"/>
          </w:tcPr>
          <w:p>
            <w:pPr>
              <w:ind w:left="80"/>
              <w:spacing w:after="0"/>
              <w:rPr>
                <w:sz w:val="20"/>
                <w:szCs w:val="20"/>
                <w:color w:val="auto"/>
              </w:rPr>
            </w:pPr>
            <w:r>
              <w:rPr>
                <w:rFonts w:ascii="Arial" w:cs="Arial" w:eastAsia="Arial" w:hAnsi="Arial"/>
                <w:sz w:val="18"/>
                <w:szCs w:val="18"/>
                <w:color w:val="auto"/>
              </w:rPr>
              <w:t>these Articles of Association.</w:t>
            </w:r>
          </w:p>
        </w:tc>
      </w:tr>
    </w:tbl>
    <w:p>
      <w:pPr>
        <w:spacing w:after="0" w:line="200" w:lineRule="exact"/>
        <w:rPr>
          <w:sz w:val="20"/>
          <w:szCs w:val="20"/>
          <w:color w:val="auto"/>
        </w:rPr>
      </w:pPr>
    </w:p>
    <w:p>
      <w:pPr>
        <w:sectPr>
          <w:pgSz w:w="11900" w:h="16838" w:orient="portrait"/>
          <w:cols w:equalWidth="0" w:num="1">
            <w:col w:w="9340"/>
          </w:cols>
          <w:pgMar w:left="1220" w:top="670" w:right="1339" w:bottom="1440" w:gutter="0" w:footer="0" w:header="0"/>
          <w:type w:val="continuous"/>
        </w:sectPr>
      </w:pPr>
    </w:p>
    <w:p>
      <w:pPr>
        <w:spacing w:after="0" w:line="165" w:lineRule="exact"/>
        <w:rPr>
          <w:sz w:val="20"/>
          <w:szCs w:val="20"/>
          <w:color w:val="auto"/>
        </w:rPr>
      </w:pPr>
    </w:p>
    <w:p>
      <w:pPr>
        <w:spacing w:after="0" w:line="285" w:lineRule="auto"/>
        <w:rPr>
          <w:sz w:val="20"/>
          <w:szCs w:val="20"/>
          <w:color w:val="auto"/>
        </w:rPr>
      </w:pPr>
      <w:r>
        <w:rPr>
          <w:rFonts w:ascii="Arial" w:cs="Arial" w:eastAsia="Arial" w:hAnsi="Arial"/>
          <w:sz w:val="14"/>
          <w:szCs w:val="14"/>
          <w:color w:val="auto"/>
        </w:rPr>
        <w:t>Nahestehender 5 Aktionär</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spacing w:after="0" w:line="242" w:lineRule="auto"/>
        <w:rPr>
          <w:sz w:val="20"/>
          <w:szCs w:val="20"/>
          <w:color w:val="auto"/>
        </w:rPr>
      </w:pPr>
      <w:r>
        <w:rPr>
          <w:rFonts w:ascii="Arial" w:cs="Arial" w:eastAsia="Arial" w:hAnsi="Arial"/>
          <w:sz w:val="18"/>
          <w:szCs w:val="18"/>
          <w:b w:val="1"/>
          <w:bCs w:val="1"/>
          <w:color w:val="auto"/>
        </w:rPr>
        <w:t xml:space="preserve">Nahestehender Aktionär </w:t>
      </w:r>
      <w:r>
        <w:rPr>
          <w:rFonts w:ascii="Arial" w:cs="Arial" w:eastAsia="Arial" w:hAnsi="Arial"/>
          <w:sz w:val="18"/>
          <w:szCs w:val="18"/>
          <w:color w:val="auto"/>
        </w:rPr>
        <w:t>bedeutet jede</w:t>
      </w:r>
      <w:r>
        <w:rPr>
          <w:rFonts w:ascii="Arial" w:cs="Arial" w:eastAsia="Arial" w:hAnsi="Arial"/>
          <w:sz w:val="18"/>
          <w:szCs w:val="18"/>
          <w:b w:val="1"/>
          <w:bCs w:val="1"/>
          <w:color w:val="auto"/>
        </w:rPr>
        <w:t xml:space="preserve"> </w:t>
      </w:r>
      <w:r>
        <w:rPr>
          <w:rFonts w:ascii="Arial" w:cs="Arial" w:eastAsia="Arial" w:hAnsi="Arial"/>
          <w:sz w:val="18"/>
          <w:szCs w:val="18"/>
          <w:color w:val="auto"/>
        </w:rPr>
        <w:t>Person (unter Ausschluss der Gesellschaft oder jeder direkten oder indirekten Tochtergesellschaft, die zur Mehrheit von der Gesellschaft gehalten wird), (i) die Eigentümerin von 15%</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100" w:type="dxa"/>
            <w:vAlign w:val="bottom"/>
          </w:tcPr>
          <w:p>
            <w:pPr>
              <w:spacing w:after="0"/>
              <w:rPr>
                <w:sz w:val="20"/>
                <w:szCs w:val="20"/>
                <w:color w:val="auto"/>
              </w:rPr>
            </w:pPr>
            <w:r>
              <w:rPr>
                <w:rFonts w:ascii="Arial" w:cs="Arial" w:eastAsia="Arial" w:hAnsi="Arial"/>
                <w:sz w:val="14"/>
                <w:szCs w:val="14"/>
                <w:color w:val="auto"/>
              </w:rPr>
              <w:t>Interested5</w:t>
            </w:r>
          </w:p>
        </w:tc>
        <w:tc>
          <w:tcPr>
            <w:tcW w:w="3340" w:type="dxa"/>
            <w:vAlign w:val="bottom"/>
          </w:tcPr>
          <w:p>
            <w:pPr>
              <w:ind w:left="120"/>
              <w:spacing w:after="0"/>
              <w:rPr>
                <w:sz w:val="20"/>
                <w:szCs w:val="20"/>
                <w:color w:val="auto"/>
              </w:rPr>
            </w:pPr>
            <w:r>
              <w:rPr>
                <w:rFonts w:ascii="Arial" w:cs="Arial" w:eastAsia="Arial" w:hAnsi="Arial"/>
                <w:sz w:val="18"/>
                <w:szCs w:val="18"/>
                <w:b w:val="1"/>
                <w:bCs w:val="1"/>
                <w:color w:val="auto"/>
              </w:rPr>
              <w:t xml:space="preserve">Interested Shareholder </w:t>
            </w:r>
            <w:r>
              <w:rPr>
                <w:rFonts w:ascii="Arial" w:cs="Arial" w:eastAsia="Arial" w:hAnsi="Arial"/>
                <w:sz w:val="18"/>
                <w:szCs w:val="18"/>
                <w:color w:val="auto"/>
              </w:rPr>
              <w:t>means any</w:t>
            </w:r>
          </w:p>
        </w:tc>
      </w:tr>
      <w:tr>
        <w:trPr>
          <w:trHeight w:val="216"/>
        </w:trPr>
        <w:tc>
          <w:tcPr>
            <w:tcW w:w="1100" w:type="dxa"/>
            <w:vAlign w:val="bottom"/>
          </w:tcPr>
          <w:p>
            <w:pPr>
              <w:spacing w:after="0"/>
              <w:rPr>
                <w:sz w:val="20"/>
                <w:szCs w:val="20"/>
                <w:color w:val="auto"/>
              </w:rPr>
            </w:pPr>
            <w:r>
              <w:rPr>
                <w:rFonts w:ascii="Arial" w:cs="Arial" w:eastAsia="Arial" w:hAnsi="Arial"/>
                <w:sz w:val="14"/>
                <w:szCs w:val="14"/>
                <w:color w:val="auto"/>
              </w:rPr>
              <w:t>Shareholder</w:t>
            </w:r>
          </w:p>
        </w:tc>
        <w:tc>
          <w:tcPr>
            <w:tcW w:w="3340" w:type="dxa"/>
            <w:vAlign w:val="bottom"/>
          </w:tcPr>
          <w:p>
            <w:pPr>
              <w:ind w:left="120"/>
              <w:spacing w:after="0"/>
              <w:rPr>
                <w:sz w:val="20"/>
                <w:szCs w:val="20"/>
                <w:color w:val="auto"/>
              </w:rPr>
            </w:pPr>
            <w:r>
              <w:rPr>
                <w:rFonts w:ascii="Arial" w:cs="Arial" w:eastAsia="Arial" w:hAnsi="Arial"/>
                <w:sz w:val="18"/>
                <w:szCs w:val="18"/>
                <w:color w:val="auto"/>
              </w:rPr>
              <w:t>Person (other than the Company or any</w:t>
            </w:r>
          </w:p>
        </w:tc>
      </w:tr>
      <w:tr>
        <w:trPr>
          <w:trHeight w:val="216"/>
        </w:trPr>
        <w:tc>
          <w:tcPr>
            <w:tcW w:w="1100" w:type="dxa"/>
            <w:vAlign w:val="bottom"/>
          </w:tcPr>
          <w:p>
            <w:pPr>
              <w:spacing w:after="0"/>
              <w:rPr>
                <w:sz w:val="18"/>
                <w:szCs w:val="18"/>
                <w:color w:val="auto"/>
              </w:rPr>
            </w:pPr>
          </w:p>
        </w:tc>
        <w:tc>
          <w:tcPr>
            <w:tcW w:w="3340" w:type="dxa"/>
            <w:vAlign w:val="bottom"/>
          </w:tcPr>
          <w:p>
            <w:pPr>
              <w:ind w:left="120"/>
              <w:spacing w:after="0"/>
              <w:rPr>
                <w:sz w:val="20"/>
                <w:szCs w:val="20"/>
                <w:color w:val="auto"/>
              </w:rPr>
            </w:pPr>
            <w:r>
              <w:rPr>
                <w:rFonts w:ascii="Arial" w:cs="Arial" w:eastAsia="Arial" w:hAnsi="Arial"/>
                <w:sz w:val="18"/>
                <w:szCs w:val="18"/>
                <w:color w:val="auto"/>
              </w:rPr>
              <w:t>direct or indirect majority-Owned</w:t>
            </w:r>
          </w:p>
        </w:tc>
      </w:tr>
      <w:tr>
        <w:trPr>
          <w:trHeight w:val="216"/>
        </w:trPr>
        <w:tc>
          <w:tcPr>
            <w:tcW w:w="1100" w:type="dxa"/>
            <w:vAlign w:val="bottom"/>
          </w:tcPr>
          <w:p>
            <w:pPr>
              <w:spacing w:after="0"/>
              <w:rPr>
                <w:sz w:val="18"/>
                <w:szCs w:val="18"/>
                <w:color w:val="auto"/>
              </w:rPr>
            </w:pPr>
          </w:p>
        </w:tc>
        <w:tc>
          <w:tcPr>
            <w:tcW w:w="3340" w:type="dxa"/>
            <w:vAlign w:val="bottom"/>
          </w:tcPr>
          <w:p>
            <w:pPr>
              <w:ind w:left="120"/>
              <w:spacing w:after="0"/>
              <w:rPr>
                <w:sz w:val="20"/>
                <w:szCs w:val="20"/>
                <w:color w:val="auto"/>
              </w:rPr>
            </w:pPr>
            <w:r>
              <w:rPr>
                <w:rFonts w:ascii="Arial" w:cs="Arial" w:eastAsia="Arial" w:hAnsi="Arial"/>
                <w:sz w:val="18"/>
                <w:szCs w:val="18"/>
                <w:color w:val="auto"/>
                <w:w w:val="99"/>
              </w:rPr>
              <w:t>subsidiary of the Company) (i) that is the</w:t>
            </w:r>
          </w:p>
        </w:tc>
      </w:tr>
      <w:tr>
        <w:trPr>
          <w:trHeight w:val="216"/>
        </w:trPr>
        <w:tc>
          <w:tcPr>
            <w:tcW w:w="1100" w:type="dxa"/>
            <w:vAlign w:val="bottom"/>
          </w:tcPr>
          <w:p>
            <w:pPr>
              <w:spacing w:after="0"/>
              <w:rPr>
                <w:sz w:val="18"/>
                <w:szCs w:val="18"/>
                <w:color w:val="auto"/>
              </w:rPr>
            </w:pPr>
          </w:p>
        </w:tc>
        <w:tc>
          <w:tcPr>
            <w:tcW w:w="3340" w:type="dxa"/>
            <w:vAlign w:val="bottom"/>
          </w:tcPr>
          <w:p>
            <w:pPr>
              <w:ind w:left="120"/>
              <w:spacing w:after="0"/>
              <w:rPr>
                <w:sz w:val="20"/>
                <w:szCs w:val="20"/>
                <w:color w:val="auto"/>
              </w:rPr>
            </w:pPr>
            <w:r>
              <w:rPr>
                <w:rFonts w:ascii="Arial" w:cs="Arial" w:eastAsia="Arial" w:hAnsi="Arial"/>
                <w:sz w:val="18"/>
                <w:szCs w:val="18"/>
                <w:color w:val="auto"/>
              </w:rPr>
              <w:t>Owner of 15% or more of the issued</w:t>
            </w:r>
          </w:p>
        </w:tc>
      </w:tr>
      <w:tr>
        <w:trPr>
          <w:trHeight w:val="216"/>
        </w:trPr>
        <w:tc>
          <w:tcPr>
            <w:tcW w:w="1100" w:type="dxa"/>
            <w:vAlign w:val="bottom"/>
          </w:tcPr>
          <w:p>
            <w:pPr>
              <w:spacing w:after="0"/>
              <w:rPr>
                <w:sz w:val="18"/>
                <w:szCs w:val="18"/>
                <w:color w:val="auto"/>
              </w:rPr>
            </w:pPr>
          </w:p>
        </w:tc>
        <w:tc>
          <w:tcPr>
            <w:tcW w:w="3340" w:type="dxa"/>
            <w:vAlign w:val="bottom"/>
          </w:tcPr>
          <w:p>
            <w:pPr>
              <w:ind w:left="120"/>
              <w:spacing w:after="0"/>
              <w:rPr>
                <w:sz w:val="20"/>
                <w:szCs w:val="20"/>
                <w:color w:val="auto"/>
              </w:rPr>
            </w:pPr>
            <w:r>
              <w:rPr>
                <w:rFonts w:ascii="Arial" w:cs="Arial" w:eastAsia="Arial" w:hAnsi="Arial"/>
                <w:sz w:val="18"/>
                <w:szCs w:val="18"/>
                <w:color w:val="auto"/>
              </w:rPr>
              <w:t>Shares of the Company or (ii) that is an</w:t>
            </w:r>
          </w:p>
        </w:tc>
      </w:tr>
      <w:tr>
        <w:trPr>
          <w:trHeight w:val="216"/>
        </w:trPr>
        <w:tc>
          <w:tcPr>
            <w:tcW w:w="1100" w:type="dxa"/>
            <w:vAlign w:val="bottom"/>
          </w:tcPr>
          <w:p>
            <w:pPr>
              <w:spacing w:after="0"/>
              <w:rPr>
                <w:sz w:val="18"/>
                <w:szCs w:val="18"/>
                <w:color w:val="auto"/>
              </w:rPr>
            </w:pPr>
          </w:p>
        </w:tc>
        <w:tc>
          <w:tcPr>
            <w:tcW w:w="3340" w:type="dxa"/>
            <w:vAlign w:val="bottom"/>
          </w:tcPr>
          <w:p>
            <w:pPr>
              <w:ind w:left="120"/>
              <w:spacing w:after="0"/>
              <w:rPr>
                <w:sz w:val="20"/>
                <w:szCs w:val="20"/>
                <w:color w:val="auto"/>
              </w:rPr>
            </w:pPr>
            <w:r>
              <w:rPr>
                <w:rFonts w:ascii="Arial" w:cs="Arial" w:eastAsia="Arial" w:hAnsi="Arial"/>
                <w:sz w:val="18"/>
                <w:szCs w:val="18"/>
                <w:color w:val="auto"/>
              </w:rPr>
              <w:t>Affiliate or Associate of the Company</w:t>
            </w:r>
          </w:p>
        </w:tc>
      </w:tr>
      <w:tr>
        <w:trPr>
          <w:trHeight w:val="239"/>
        </w:trPr>
        <w:tc>
          <w:tcPr>
            <w:tcW w:w="1100" w:type="dxa"/>
            <w:vAlign w:val="bottom"/>
          </w:tcPr>
          <w:p>
            <w:pPr>
              <w:spacing w:after="0"/>
              <w:rPr>
                <w:sz w:val="20"/>
                <w:szCs w:val="20"/>
                <w:color w:val="auto"/>
              </w:rPr>
            </w:pPr>
          </w:p>
        </w:tc>
        <w:tc>
          <w:tcPr>
            <w:tcW w:w="3340" w:type="dxa"/>
            <w:vAlign w:val="bottom"/>
          </w:tcPr>
          <w:p>
            <w:pPr>
              <w:ind w:left="120"/>
              <w:spacing w:after="0"/>
              <w:rPr>
                <w:sz w:val="20"/>
                <w:szCs w:val="20"/>
                <w:color w:val="auto"/>
              </w:rPr>
            </w:pPr>
            <w:r>
              <w:rPr>
                <w:rFonts w:ascii="Arial" w:cs="Arial" w:eastAsia="Arial" w:hAnsi="Arial"/>
                <w:sz w:val="18"/>
                <w:szCs w:val="18"/>
                <w:color w:val="auto"/>
              </w:rPr>
              <w:t>and was the Owner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-3159125</wp:posOffset>
            </wp:positionH>
            <wp:positionV relativeFrom="paragraph">
              <wp:posOffset>546100</wp:posOffset>
            </wp:positionV>
            <wp:extent cx="629221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3">
            <w:col w:w="1200" w:space="200"/>
            <w:col w:w="3220" w:space="220"/>
            <w:col w:w="4500"/>
          </w:cols>
          <w:pgMar w:left="1220" w:top="670" w:right="1339" w:bottom="1440" w:gutter="0" w:footer="0" w:header="0"/>
          <w:type w:val="continuous"/>
        </w:sectPr>
      </w:pPr>
    </w:p>
    <w:bookmarkStart w:id="51" w:name="page52"/>
    <w:bookmarkEnd w:id="51"/>
    <w:p>
      <w:pPr>
        <w:jc w:val="center"/>
        <w:ind w:right="-299"/>
        <w:spacing w:after="0"/>
        <w:rPr>
          <w:sz w:val="20"/>
          <w:szCs w:val="20"/>
          <w:color w:val="auto"/>
        </w:rPr>
      </w:pPr>
      <w:r>
        <w:rPr>
          <w:rFonts w:ascii="Arial" w:cs="Arial" w:eastAsia="Arial" w:hAnsi="Arial"/>
          <w:sz w:val="13"/>
          <w:szCs w:val="13"/>
          <w:color w:val="auto"/>
        </w:rPr>
        <w:t>- 44 -</w:t>
      </w:r>
    </w:p>
    <w:p>
      <w:pPr>
        <w:sectPr>
          <w:pgSz w:w="11900" w:h="16838" w:orient="portrait"/>
          <w:cols w:equalWidth="0" w:num="1">
            <w:col w:w="9340"/>
          </w:cols>
          <w:pgMar w:left="1220" w:top="670"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line="296" w:lineRule="auto"/>
        <w:rPr>
          <w:sz w:val="20"/>
          <w:szCs w:val="20"/>
          <w:color w:val="auto"/>
        </w:rPr>
      </w:pPr>
      <w:r>
        <w:rPr>
          <w:rFonts w:ascii="Arial" w:cs="Arial" w:eastAsia="Arial" w:hAnsi="Arial"/>
          <w:sz w:val="14"/>
          <w:szCs w:val="14"/>
          <w:color w:val="auto"/>
        </w:rPr>
        <w:t xml:space="preserve">Nahestehende </w:t>
      </w:r>
      <w:r>
        <w:rPr>
          <w:rFonts w:ascii="Arial" w:cs="Arial" w:eastAsia="Arial" w:hAnsi="Arial"/>
          <w:sz w:val="28"/>
          <w:szCs w:val="28"/>
          <w:color w:val="auto"/>
          <w:vertAlign w:val="subscript"/>
        </w:rPr>
        <w:t>6</w:t>
      </w:r>
      <w:r>
        <w:rPr>
          <w:rFonts w:ascii="Arial" w:cs="Arial" w:eastAsia="Arial" w:hAnsi="Arial"/>
          <w:sz w:val="14"/>
          <w:szCs w:val="14"/>
          <w:color w:val="auto"/>
        </w:rPr>
        <w:t xml:space="preserve"> Gesellschaft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line="296" w:lineRule="auto"/>
        <w:rPr>
          <w:sz w:val="20"/>
          <w:szCs w:val="20"/>
          <w:color w:val="auto"/>
        </w:rPr>
      </w:pPr>
      <w:r>
        <w:rPr>
          <w:rFonts w:ascii="Arial" w:cs="Arial" w:eastAsia="Arial" w:hAnsi="Arial"/>
          <w:sz w:val="14"/>
          <w:szCs w:val="14"/>
          <w:color w:val="auto"/>
        </w:rPr>
        <w:t xml:space="preserve">Nahestehende </w:t>
      </w:r>
      <w:r>
        <w:rPr>
          <w:rFonts w:ascii="Arial" w:cs="Arial" w:eastAsia="Arial" w:hAnsi="Arial"/>
          <w:sz w:val="28"/>
          <w:szCs w:val="28"/>
          <w:color w:val="auto"/>
          <w:vertAlign w:val="subscript"/>
        </w:rPr>
        <w:t>7</w:t>
      </w:r>
      <w:r>
        <w:rPr>
          <w:rFonts w:ascii="Arial" w:cs="Arial" w:eastAsia="Arial" w:hAnsi="Arial"/>
          <w:sz w:val="14"/>
          <w:szCs w:val="14"/>
          <w:color w:val="auto"/>
        </w:rPr>
        <w:t xml:space="preserve">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0"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 xml:space="preserve">oder mehr der ausgegebenen Aktien ist, oder (ii) die als Nahestehende Gesellschaft oder Nahestehende Person anzusehen ist und irgendwann in den drei unmittelbar vorangehenden Jahren vor dem Zeitpunkt, zu dem bestimmt werden muss, ob diese Person ein Nahestehender Aktionär ist, Eigentümerin von 15% oder mehr der ausgegebenen Stimmrechte gewesen ist, ebenso wie jede Nahestehende Gesellschaft und Nahestehende Person dieser Person; vorausgesetzt, dass eine Person nicht als </w:t>
      </w:r>
      <w:r>
        <w:rPr>
          <w:rFonts w:ascii="Arial" w:cs="Arial" w:eastAsia="Arial" w:hAnsi="Arial"/>
          <w:sz w:val="18"/>
          <w:szCs w:val="18"/>
          <w:b w:val="1"/>
          <w:bCs w:val="1"/>
          <w:color w:val="auto"/>
        </w:rPr>
        <w:t xml:space="preserve">Nahestehender Aktionär </w:t>
      </w:r>
      <w:r>
        <w:rPr>
          <w:rFonts w:ascii="Arial" w:cs="Arial" w:eastAsia="Arial" w:hAnsi="Arial"/>
          <w:sz w:val="18"/>
          <w:szCs w:val="18"/>
          <w:color w:val="auto"/>
        </w:rPr>
        <w:t>gilt, die</w:t>
      </w:r>
      <w:r>
        <w:rPr>
          <w:rFonts w:ascii="Arial" w:cs="Arial" w:eastAsia="Arial" w:hAnsi="Arial"/>
          <w:sz w:val="18"/>
          <w:szCs w:val="18"/>
          <w:b w:val="1"/>
          <w:bCs w:val="1"/>
          <w:color w:val="auto"/>
        </w:rPr>
        <w:t xml:space="preserve"> </w:t>
      </w:r>
      <w:r>
        <w:rPr>
          <w:rFonts w:ascii="Arial" w:cs="Arial" w:eastAsia="Arial" w:hAnsi="Arial"/>
          <w:sz w:val="18"/>
          <w:szCs w:val="18"/>
          <w:color w:val="auto"/>
        </w:rPr>
        <w:t>aufgrund von Handlungen, die ausschliesslich der Gesellschaft zuzurechnen sind, Eigentümerin von Aktien in Überschreitung der 15%-Beschränkung ist; wobei jedoch jede solche Person dann als Nahestehender Aktionär gilt, falls sie später zusätzliche Aktien erwirbt, ausser dieser Erwerb erfolgt aufgrund von weiteren Gesellschaftshandlungen, die weder direkt noch indirekt von dieser Person beeinflusst werden. Zur Bestimmung, ob eine Person ein Nahestehender Aktionär ist, sind die als ausgegeben geltenden Aktien unter Einschluss der von dieser Person gehaltenen Aktien (unter Anwendung des Begriffs "gehalten" wie in Artikel 35 Abs. 2 dieser Statuten definiert) zu berechnen, jedoch unter Ausschluss von nichtausgegebenen Aktien, die aufgrund eines Vertrags, einer Absprache oder einer anderen Vereinbarung, oder aufgrund der Ausübung eines Wandel-, Bezugs- oder Optionsrechts oder anderweitig ausgegeben werden können;</w:t>
      </w:r>
    </w:p>
    <w:p>
      <w:pPr>
        <w:spacing w:after="0" w:line="47"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b w:val="1"/>
          <w:bCs w:val="1"/>
          <w:color w:val="auto"/>
        </w:rPr>
        <w:t xml:space="preserve">Nahestehende Gesellschaft </w:t>
      </w:r>
      <w:r>
        <w:rPr>
          <w:rFonts w:ascii="Arial" w:cs="Arial" w:eastAsia="Arial" w:hAnsi="Arial"/>
          <w:sz w:val="18"/>
          <w:szCs w:val="18"/>
          <w:color w:val="auto"/>
        </w:rPr>
        <w:t>bedeutet</w:t>
      </w:r>
      <w:r>
        <w:rPr>
          <w:rFonts w:ascii="Arial" w:cs="Arial" w:eastAsia="Arial" w:hAnsi="Arial"/>
          <w:sz w:val="18"/>
          <w:szCs w:val="18"/>
          <w:b w:val="1"/>
          <w:bCs w:val="1"/>
          <w:color w:val="auto"/>
        </w:rPr>
        <w:t xml:space="preserve"> </w:t>
      </w:r>
      <w:r>
        <w:rPr>
          <w:rFonts w:ascii="Arial" w:cs="Arial" w:eastAsia="Arial" w:hAnsi="Arial"/>
          <w:sz w:val="18"/>
          <w:szCs w:val="18"/>
          <w:color w:val="auto"/>
        </w:rPr>
        <w:t>jede Person, die direkt oder indirekt über eine oder mehrere Mittelspersonen eine andere Person kontrolliert, von einer anderen Person kontrolliert wird, oder unter gemeineinsamer Kontrolle mit einer anderen Person steht.</w:t>
      </w:r>
    </w:p>
    <w:p>
      <w:pPr>
        <w:spacing w:after="0" w:line="29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b w:val="1"/>
          <w:bCs w:val="1"/>
          <w:color w:val="auto"/>
        </w:rPr>
        <w:t xml:space="preserve">Nahestehende Person </w:t>
      </w:r>
      <w:r>
        <w:rPr>
          <w:rFonts w:ascii="Arial" w:cs="Arial" w:eastAsia="Arial" w:hAnsi="Arial"/>
          <w:sz w:val="18"/>
          <w:szCs w:val="18"/>
          <w:color w:val="auto"/>
        </w:rPr>
        <w:t>bedeutet, wenn</w:t>
      </w:r>
      <w:r>
        <w:rPr>
          <w:rFonts w:ascii="Arial" w:cs="Arial" w:eastAsia="Arial" w:hAnsi="Arial"/>
          <w:sz w:val="18"/>
          <w:szCs w:val="18"/>
          <w:b w:val="1"/>
          <w:bCs w:val="1"/>
          <w:color w:val="auto"/>
        </w:rPr>
        <w:t xml:space="preserve"> </w:t>
      </w:r>
      <w:r>
        <w:rPr>
          <w:rFonts w:ascii="Arial" w:cs="Arial" w:eastAsia="Arial" w:hAnsi="Arial"/>
          <w:sz w:val="18"/>
          <w:szCs w:val="18"/>
          <w:color w:val="auto"/>
        </w:rPr>
        <w:t>verwendet zur Bezeichnung einer Beziehung zu einer Person, (i) jede Kapitalgesellschaft, rechts- oder nicht-rechtsfähige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0" w:lineRule="exact"/>
        <w:rPr>
          <w:sz w:val="20"/>
          <w:szCs w:val="20"/>
          <w:color w:val="auto"/>
        </w:rPr>
      </w:pPr>
    </w:p>
    <w:p>
      <w:pPr>
        <w:ind w:left="1120"/>
        <w:spacing w:after="0" w:line="251" w:lineRule="auto"/>
        <w:rPr>
          <w:sz w:val="20"/>
          <w:szCs w:val="20"/>
          <w:color w:val="auto"/>
        </w:rPr>
      </w:pPr>
      <w:r>
        <w:rPr>
          <w:rFonts w:ascii="Arial" w:cs="Arial" w:eastAsia="Arial" w:hAnsi="Arial"/>
          <w:sz w:val="18"/>
          <w:szCs w:val="18"/>
          <w:color w:val="auto"/>
        </w:rPr>
        <w:t xml:space="preserve">of 15% or more of the issued Shares at any time within the three-year period immediately prior to the date on which it is sought to be determined whether such Person is an Interested Shareholder, and also the Affiliates and Associates of such Person;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term Interested Shareholder shall not include any Person whose Ownership of Shares in excess of the 15% limitation is the result of action taken solely by the Company; provided that such Person shall be an Interested Shareholder if thereafter such Person acquires additional Shares, except as a result of further corporate action not caused, directly or indirectly, by such Person. For the purpose of determining whether a Person is an Interested Shareholder, the Shares deemed to be in issue shall include Shares deemed to be Owned by the Person (through the application of the definition of Owner in Article 35 para. 2 of these Articles of Association) but shall not include any other unissued Shares which may be issuable pursuant to any agreement, arrangement or understanding, or upon exercise of conversion rights, warrants or options,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880" w:right="180" w:hanging="1106"/>
        <w:spacing w:after="0" w:line="199" w:lineRule="auto"/>
        <w:tabs>
          <w:tab w:leader="none" w:pos="860" w:val="left"/>
        </w:tabs>
        <w:rPr>
          <w:sz w:val="20"/>
          <w:szCs w:val="20"/>
          <w:color w:val="auto"/>
        </w:rPr>
      </w:pPr>
      <w:r>
        <w:rPr>
          <w:rFonts w:ascii="Arial" w:cs="Arial" w:eastAsia="Arial" w:hAnsi="Arial"/>
          <w:sz w:val="28"/>
          <w:szCs w:val="28"/>
          <w:color w:val="auto"/>
          <w:vertAlign w:val="subscript"/>
        </w:rPr>
        <w:t>Affiliate</w:t>
      </w:r>
      <w:r>
        <w:rPr>
          <w:sz w:val="20"/>
          <w:szCs w:val="20"/>
          <w:color w:val="auto"/>
        </w:rPr>
        <w:tab/>
      </w:r>
      <w:r>
        <w:rPr>
          <w:rFonts w:ascii="Arial" w:cs="Arial" w:eastAsia="Arial" w:hAnsi="Arial"/>
          <w:sz w:val="29"/>
          <w:szCs w:val="29"/>
          <w:color w:val="auto"/>
          <w:vertAlign w:val="subscript"/>
        </w:rPr>
        <w:t xml:space="preserve">6 </w:t>
      </w:r>
      <w:r>
        <w:rPr>
          <w:rFonts w:ascii="Arial" w:cs="Arial" w:eastAsia="Arial" w:hAnsi="Arial"/>
          <w:sz w:val="17"/>
          <w:szCs w:val="17"/>
          <w:b w:val="1"/>
          <w:bCs w:val="1"/>
          <w:color w:val="auto"/>
        </w:rPr>
        <w:t>Affiliate</w:t>
      </w:r>
      <w:r>
        <w:rPr>
          <w:rFonts w:ascii="Arial" w:cs="Arial" w:eastAsia="Arial" w:hAnsi="Arial"/>
          <w:sz w:val="29"/>
          <w:szCs w:val="29"/>
          <w:color w:val="auto"/>
        </w:rPr>
        <w:t xml:space="preserve"> </w:t>
      </w:r>
      <w:r>
        <w:rPr>
          <w:rFonts w:ascii="Arial" w:cs="Arial" w:eastAsia="Arial" w:hAnsi="Arial"/>
          <w:sz w:val="17"/>
          <w:szCs w:val="17"/>
          <w:color w:val="auto"/>
        </w:rPr>
        <w:t>means a Person that directly, or</w:t>
      </w:r>
      <w:r>
        <w:rPr>
          <w:rFonts w:ascii="Arial" w:cs="Arial" w:eastAsia="Arial" w:hAnsi="Arial"/>
          <w:sz w:val="29"/>
          <w:szCs w:val="29"/>
          <w:color w:val="auto"/>
        </w:rPr>
        <w:t xml:space="preserve"> </w:t>
      </w:r>
      <w:r>
        <w:rPr>
          <w:rFonts w:ascii="Arial" w:cs="Arial" w:eastAsia="Arial" w:hAnsi="Arial"/>
          <w:sz w:val="17"/>
          <w:szCs w:val="17"/>
          <w:color w:val="auto"/>
        </w:rPr>
        <w:t>indirectly through one or more</w:t>
      </w:r>
    </w:p>
    <w:p>
      <w:pPr>
        <w:spacing w:after="0" w:line="29" w:lineRule="exact"/>
        <w:rPr>
          <w:sz w:val="20"/>
          <w:szCs w:val="20"/>
          <w:color w:val="auto"/>
        </w:rPr>
      </w:pPr>
    </w:p>
    <w:p>
      <w:pPr>
        <w:ind w:left="1120"/>
        <w:spacing w:after="0" w:line="258" w:lineRule="auto"/>
        <w:rPr>
          <w:sz w:val="20"/>
          <w:szCs w:val="20"/>
          <w:color w:val="auto"/>
        </w:rPr>
      </w:pPr>
      <w:r>
        <w:rPr>
          <w:rFonts w:ascii="Arial" w:cs="Arial" w:eastAsia="Arial" w:hAnsi="Arial"/>
          <w:sz w:val="18"/>
          <w:szCs w:val="18"/>
          <w:color w:val="auto"/>
        </w:rPr>
        <w:t>intermediaries, controls, or is controlled by, or is under common control with, another Person.</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339"/>
        </w:trPr>
        <w:tc>
          <w:tcPr>
            <w:tcW w:w="1040" w:type="dxa"/>
            <w:vAlign w:val="bottom"/>
          </w:tcPr>
          <w:p>
            <w:pPr>
              <w:spacing w:after="0"/>
              <w:rPr>
                <w:sz w:val="20"/>
                <w:szCs w:val="20"/>
                <w:color w:val="auto"/>
              </w:rPr>
            </w:pPr>
            <w:r>
              <w:rPr>
                <w:rFonts w:ascii="Arial" w:cs="Arial" w:eastAsia="Arial" w:hAnsi="Arial"/>
                <w:sz w:val="14"/>
                <w:szCs w:val="14"/>
                <w:color w:val="auto"/>
              </w:rPr>
              <w:t xml:space="preserve">Associate   </w:t>
            </w:r>
            <w:r>
              <w:rPr>
                <w:rFonts w:ascii="Arial" w:cs="Arial" w:eastAsia="Arial" w:hAnsi="Arial"/>
                <w:sz w:val="28"/>
                <w:szCs w:val="28"/>
                <w:color w:val="auto"/>
                <w:vertAlign w:val="subscript"/>
              </w:rPr>
              <w:t>7</w:t>
            </w:r>
          </w:p>
        </w:tc>
        <w:tc>
          <w:tcPr>
            <w:tcW w:w="3380" w:type="dxa"/>
            <w:vAlign w:val="bottom"/>
          </w:tcPr>
          <w:p>
            <w:pPr>
              <w:ind w:left="80"/>
              <w:spacing w:after="0"/>
              <w:rPr>
                <w:sz w:val="20"/>
                <w:szCs w:val="20"/>
                <w:color w:val="auto"/>
              </w:rPr>
            </w:pPr>
            <w:r>
              <w:rPr>
                <w:rFonts w:ascii="Arial" w:cs="Arial" w:eastAsia="Arial" w:hAnsi="Arial"/>
                <w:sz w:val="18"/>
                <w:szCs w:val="18"/>
                <w:b w:val="1"/>
                <w:bCs w:val="1"/>
                <w:color w:val="auto"/>
              </w:rPr>
              <w:t>Associate</w:t>
            </w:r>
            <w:r>
              <w:rPr>
                <w:rFonts w:ascii="Arial" w:cs="Arial" w:eastAsia="Arial" w:hAnsi="Arial"/>
                <w:sz w:val="18"/>
                <w:szCs w:val="18"/>
                <w:color w:val="auto"/>
              </w:rPr>
              <w:t>, when used to indicate a</w:t>
            </w:r>
          </w:p>
        </w:tc>
      </w:tr>
      <w:tr>
        <w:trPr>
          <w:trHeight w:val="198"/>
        </w:trPr>
        <w:tc>
          <w:tcPr>
            <w:tcW w:w="1040" w:type="dxa"/>
            <w:vAlign w:val="bottom"/>
          </w:tcPr>
          <w:p>
            <w:pPr>
              <w:spacing w:after="0"/>
              <w:rPr>
                <w:sz w:val="17"/>
                <w:szCs w:val="17"/>
                <w:color w:val="auto"/>
              </w:rPr>
            </w:pPr>
          </w:p>
        </w:tc>
        <w:tc>
          <w:tcPr>
            <w:tcW w:w="3380" w:type="dxa"/>
            <w:vAlign w:val="bottom"/>
          </w:tcPr>
          <w:p>
            <w:pPr>
              <w:ind w:left="80"/>
              <w:spacing w:after="0" w:line="198" w:lineRule="exact"/>
              <w:rPr>
                <w:sz w:val="20"/>
                <w:szCs w:val="20"/>
                <w:color w:val="auto"/>
              </w:rPr>
            </w:pPr>
            <w:r>
              <w:rPr>
                <w:rFonts w:ascii="Arial" w:cs="Arial" w:eastAsia="Arial" w:hAnsi="Arial"/>
                <w:sz w:val="18"/>
                <w:szCs w:val="18"/>
                <w:color w:val="auto"/>
              </w:rPr>
              <w:t>relationship with any Person, means</w:t>
            </w:r>
          </w:p>
        </w:tc>
      </w:tr>
      <w:tr>
        <w:trPr>
          <w:trHeight w:val="216"/>
        </w:trPr>
        <w:tc>
          <w:tcPr>
            <w:tcW w:w="1040" w:type="dxa"/>
            <w:vAlign w:val="bottom"/>
          </w:tcPr>
          <w:p>
            <w:pPr>
              <w:spacing w:after="0"/>
              <w:rPr>
                <w:sz w:val="18"/>
                <w:szCs w:val="18"/>
                <w:color w:val="auto"/>
              </w:rPr>
            </w:pPr>
          </w:p>
        </w:tc>
        <w:tc>
          <w:tcPr>
            <w:tcW w:w="3380" w:type="dxa"/>
            <w:vAlign w:val="bottom"/>
          </w:tcPr>
          <w:p>
            <w:pPr>
              <w:ind w:left="80"/>
              <w:spacing w:after="0"/>
              <w:rPr>
                <w:sz w:val="20"/>
                <w:szCs w:val="20"/>
                <w:color w:val="auto"/>
              </w:rPr>
            </w:pPr>
            <w:r>
              <w:rPr>
                <w:rFonts w:ascii="Arial" w:cs="Arial" w:eastAsia="Arial" w:hAnsi="Arial"/>
                <w:sz w:val="18"/>
                <w:szCs w:val="18"/>
                <w:color w:val="auto"/>
              </w:rPr>
              <w:t>(i) any corporation, partnership,</w:t>
            </w:r>
          </w:p>
        </w:tc>
      </w:tr>
      <w:tr>
        <w:trPr>
          <w:trHeight w:val="216"/>
        </w:trPr>
        <w:tc>
          <w:tcPr>
            <w:tcW w:w="1040" w:type="dxa"/>
            <w:vAlign w:val="bottom"/>
          </w:tcPr>
          <w:p>
            <w:pPr>
              <w:spacing w:after="0"/>
              <w:rPr>
                <w:sz w:val="18"/>
                <w:szCs w:val="18"/>
                <w:color w:val="auto"/>
              </w:rPr>
            </w:pPr>
          </w:p>
        </w:tc>
        <w:tc>
          <w:tcPr>
            <w:tcW w:w="3380" w:type="dxa"/>
            <w:vAlign w:val="bottom"/>
          </w:tcPr>
          <w:p>
            <w:pPr>
              <w:ind w:left="80"/>
              <w:spacing w:after="0"/>
              <w:rPr>
                <w:sz w:val="20"/>
                <w:szCs w:val="20"/>
                <w:color w:val="auto"/>
              </w:rPr>
            </w:pPr>
            <w:r>
              <w:rPr>
                <w:rFonts w:ascii="Arial" w:cs="Arial" w:eastAsia="Arial" w:hAnsi="Arial"/>
                <w:sz w:val="18"/>
                <w:szCs w:val="18"/>
                <w:color w:val="auto"/>
                <w:w w:val="99"/>
              </w:rPr>
              <w:t>unincorporated association or other entity</w:t>
            </w:r>
          </w:p>
        </w:tc>
      </w:tr>
      <w:tr>
        <w:trPr>
          <w:trHeight w:val="239"/>
        </w:trPr>
        <w:tc>
          <w:tcPr>
            <w:tcW w:w="1040" w:type="dxa"/>
            <w:vAlign w:val="bottom"/>
          </w:tcPr>
          <w:p>
            <w:pPr>
              <w:spacing w:after="0"/>
              <w:rPr>
                <w:sz w:val="20"/>
                <w:szCs w:val="20"/>
                <w:color w:val="auto"/>
              </w:rPr>
            </w:pPr>
          </w:p>
        </w:tc>
        <w:tc>
          <w:tcPr>
            <w:tcW w:w="3380" w:type="dxa"/>
            <w:vAlign w:val="bottom"/>
          </w:tcPr>
          <w:p>
            <w:pPr>
              <w:ind w:left="80"/>
              <w:spacing w:after="0"/>
              <w:rPr>
                <w:sz w:val="20"/>
                <w:szCs w:val="20"/>
                <w:color w:val="auto"/>
              </w:rPr>
            </w:pPr>
            <w:r>
              <w:rPr>
                <w:rFonts w:ascii="Arial" w:cs="Arial" w:eastAsia="Arial" w:hAnsi="Arial"/>
                <w:sz w:val="18"/>
                <w:szCs w:val="18"/>
                <w:color w:val="auto"/>
              </w:rPr>
              <w:t>of which such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-3146425</wp:posOffset>
            </wp:positionH>
            <wp:positionV relativeFrom="paragraph">
              <wp:posOffset>546100</wp:posOffset>
            </wp:positionV>
            <wp:extent cx="629221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3">
            <w:col w:w="1140" w:space="140"/>
            <w:col w:w="3400" w:space="140"/>
            <w:col w:w="4520"/>
          </w:cols>
          <w:pgMar w:left="1220" w:top="670" w:right="1339" w:bottom="1440" w:gutter="0" w:footer="0" w:header="0"/>
          <w:type w:val="continuous"/>
        </w:sectPr>
      </w:pPr>
    </w:p>
    <w:bookmarkStart w:id="52" w:name="page53"/>
    <w:bookmarkEnd w:id="52"/>
    <w:p>
      <w:pPr>
        <w:jc w:val="center"/>
        <w:ind w:right="-299"/>
        <w:spacing w:after="0"/>
        <w:rPr>
          <w:sz w:val="20"/>
          <w:szCs w:val="20"/>
          <w:color w:val="auto"/>
        </w:rPr>
      </w:pPr>
      <w:r>
        <w:rPr>
          <w:rFonts w:ascii="Arial" w:cs="Arial" w:eastAsia="Arial" w:hAnsi="Arial"/>
          <w:sz w:val="13"/>
          <w:szCs w:val="13"/>
          <w:color w:val="auto"/>
        </w:rPr>
        <w:t>- 45 -</w:t>
      </w:r>
    </w:p>
    <w:p>
      <w:pPr>
        <w:sectPr>
          <w:pgSz w:w="11900" w:h="16838" w:orient="portrait"/>
          <w:cols w:equalWidth="0" w:num="1">
            <w:col w:w="9340"/>
          </w:cols>
          <w:pgMar w:left="1220" w:top="670"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60" w:right="600"/>
        <w:spacing w:after="0" w:line="267" w:lineRule="auto"/>
        <w:rPr>
          <w:sz w:val="20"/>
          <w:szCs w:val="20"/>
          <w:color w:val="auto"/>
        </w:rPr>
      </w:pPr>
      <w:r>
        <w:rPr>
          <w:rFonts w:ascii="Arial" w:cs="Arial" w:eastAsia="Arial" w:hAnsi="Arial"/>
          <w:sz w:val="17"/>
          <w:szCs w:val="17"/>
          <w:color w:val="auto"/>
        </w:rPr>
        <w:t>Personengesellschaft oder ein anderer Rechtsträger, von welcher diese Person Mitglied des Leitungs- oder Verwaltungsorgans, der Geschäftsleitung oder Gesellschafter ist oder von welcher diese Person, direkt oder indirekt, Eigentümerin von 20% oder mehr einer Kategorie von Aktien oder anderer Anteilsrechte ist, die ein Stimmrecht vermitteln, (ii) jedes Treuhandvermögen (</w:t>
      </w:r>
      <w:r>
        <w:rPr>
          <w:rFonts w:ascii="Arial" w:cs="Arial" w:eastAsia="Arial" w:hAnsi="Arial"/>
          <w:sz w:val="17"/>
          <w:szCs w:val="17"/>
          <w:i w:val="1"/>
          <w:iCs w:val="1"/>
          <w:color w:val="auto"/>
        </w:rPr>
        <w:t>Trust</w:t>
      </w:r>
      <w:r>
        <w:rPr>
          <w:rFonts w:ascii="Arial" w:cs="Arial" w:eastAsia="Arial" w:hAnsi="Arial"/>
          <w:sz w:val="17"/>
          <w:szCs w:val="17"/>
          <w:color w:val="auto"/>
        </w:rPr>
        <w:t>) oder jede andere Vermögenseinheit, an der diese Person wirtschaftlich einen Anteil von 20% oder mehr hält oder in Bezug auf welche diese Person als Verwalter (</w:t>
      </w:r>
      <w:r>
        <w:rPr>
          <w:rFonts w:ascii="Arial" w:cs="Arial" w:eastAsia="Arial" w:hAnsi="Arial"/>
          <w:sz w:val="17"/>
          <w:szCs w:val="17"/>
          <w:i w:val="1"/>
          <w:iCs w:val="1"/>
          <w:color w:val="auto"/>
        </w:rPr>
        <w:t>trustee</w:t>
      </w:r>
      <w:r>
        <w:rPr>
          <w:rFonts w:ascii="Arial" w:cs="Arial" w:eastAsia="Arial" w:hAnsi="Arial"/>
          <w:sz w:val="17"/>
          <w:szCs w:val="17"/>
          <w:color w:val="auto"/>
        </w:rPr>
        <w:t>) oder in ähnlich treuhändischer Funktion tätig ist, und (iii) jeder Verwandte, Ehe- oder Lebenspartner dieser Person, oder jede Verwandte des Ehe- oder Lebenspartners, jeweils soweit diese den gleichen Wohnsitz haben wie diese Person.</w:t>
      </w: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r>
              <w:rPr>
                <w:rFonts w:ascii="Arial" w:cs="Arial" w:eastAsia="Arial" w:hAnsi="Arial"/>
                <w:sz w:val="14"/>
                <w:szCs w:val="14"/>
                <w:color w:val="auto"/>
              </w:rPr>
              <w:t>OR</w:t>
            </w:r>
          </w:p>
        </w:tc>
        <w:tc>
          <w:tcPr>
            <w:tcW w:w="460" w:type="dxa"/>
            <w:vAlign w:val="bottom"/>
          </w:tcPr>
          <w:p>
            <w:pPr>
              <w:jc w:val="right"/>
              <w:ind w:right="48"/>
              <w:spacing w:after="0"/>
              <w:rPr>
                <w:sz w:val="20"/>
                <w:szCs w:val="20"/>
                <w:color w:val="auto"/>
              </w:rPr>
            </w:pPr>
            <w:r>
              <w:rPr>
                <w:rFonts w:ascii="Arial" w:cs="Arial" w:eastAsia="Arial" w:hAnsi="Arial"/>
                <w:sz w:val="14"/>
                <w:szCs w:val="14"/>
                <w:color w:val="auto"/>
              </w:rPr>
              <w:t>8</w:t>
            </w:r>
          </w:p>
        </w:tc>
        <w:tc>
          <w:tcPr>
            <w:tcW w:w="3520" w:type="dxa"/>
            <w:vAlign w:val="bottom"/>
          </w:tcPr>
          <w:p>
            <w:pPr>
              <w:ind w:left="100"/>
              <w:spacing w:after="0"/>
              <w:rPr>
                <w:sz w:val="20"/>
                <w:szCs w:val="20"/>
                <w:color w:val="auto"/>
              </w:rPr>
            </w:pPr>
            <w:r>
              <w:rPr>
                <w:rFonts w:ascii="Arial" w:cs="Arial" w:eastAsia="Arial" w:hAnsi="Arial"/>
                <w:sz w:val="18"/>
                <w:szCs w:val="18"/>
                <w:color w:val="auto"/>
              </w:rPr>
              <w:t xml:space="preserve">Der Begriff </w:t>
            </w:r>
            <w:r>
              <w:rPr>
                <w:rFonts w:ascii="Arial" w:cs="Arial" w:eastAsia="Arial" w:hAnsi="Arial"/>
                <w:sz w:val="18"/>
                <w:szCs w:val="18"/>
                <w:b w:val="1"/>
                <w:bCs w:val="1"/>
                <w:color w:val="auto"/>
              </w:rPr>
              <w:t>OR</w:t>
            </w:r>
            <w:r>
              <w:rPr>
                <w:rFonts w:ascii="Arial" w:cs="Arial" w:eastAsia="Arial" w:hAnsi="Arial"/>
                <w:sz w:val="18"/>
                <w:szCs w:val="18"/>
                <w:color w:val="auto"/>
              </w:rPr>
              <w:t xml:space="preserve"> hat die in Artikel 14 Abs. 2</w:t>
            </w:r>
          </w:p>
        </w:tc>
        <w:tc>
          <w:tcPr>
            <w:tcW w:w="560" w:type="dxa"/>
            <w:vAlign w:val="bottom"/>
          </w:tcPr>
          <w:p>
            <w:pPr>
              <w:ind w:left="100"/>
              <w:spacing w:after="0"/>
              <w:rPr>
                <w:sz w:val="20"/>
                <w:szCs w:val="20"/>
                <w:color w:val="auto"/>
              </w:rPr>
            </w:pPr>
            <w:r>
              <w:rPr>
                <w:rFonts w:ascii="Arial" w:cs="Arial" w:eastAsia="Arial" w:hAnsi="Arial"/>
                <w:sz w:val="14"/>
                <w:szCs w:val="14"/>
                <w:color w:val="auto"/>
              </w:rPr>
              <w:t>CO</w:t>
            </w:r>
          </w:p>
        </w:tc>
      </w:tr>
      <w:tr>
        <w:trPr>
          <w:trHeight w:val="239"/>
        </w:trPr>
        <w:tc>
          <w:tcPr>
            <w:tcW w:w="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520" w:type="dxa"/>
            <w:vAlign w:val="bottom"/>
          </w:tcPr>
          <w:p>
            <w:pPr>
              <w:ind w:left="100"/>
              <w:spacing w:after="0"/>
              <w:rPr>
                <w:sz w:val="20"/>
                <w:szCs w:val="20"/>
                <w:color w:val="auto"/>
              </w:rPr>
            </w:pPr>
            <w:r>
              <w:rPr>
                <w:rFonts w:ascii="Arial" w:cs="Arial" w:eastAsia="Arial" w:hAnsi="Arial"/>
                <w:sz w:val="18"/>
                <w:szCs w:val="18"/>
                <w:color w:val="auto"/>
              </w:rPr>
              <w:t>dieser Statuten aufgeführte Bedeutung.</w:t>
            </w:r>
          </w:p>
        </w:tc>
        <w:tc>
          <w:tcPr>
            <w:tcW w:w="560" w:type="dxa"/>
            <w:vAlign w:val="bottom"/>
          </w:tcPr>
          <w:p>
            <w:pPr>
              <w:spacing w:after="0"/>
              <w:rPr>
                <w:sz w:val="20"/>
                <w:szCs w:val="20"/>
                <w:color w:val="auto"/>
              </w:rPr>
            </w:pPr>
          </w:p>
        </w:tc>
      </w:tr>
      <w:tr>
        <w:trPr>
          <w:trHeight w:val="774"/>
        </w:trPr>
        <w:tc>
          <w:tcPr>
            <w:tcW w:w="700" w:type="dxa"/>
            <w:vAlign w:val="bottom"/>
          </w:tcPr>
          <w:p>
            <w:pPr>
              <w:spacing w:after="0"/>
              <w:rPr>
                <w:sz w:val="20"/>
                <w:szCs w:val="20"/>
                <w:color w:val="auto"/>
              </w:rPr>
            </w:pPr>
            <w:r>
              <w:rPr>
                <w:rFonts w:ascii="Arial" w:cs="Arial" w:eastAsia="Arial" w:hAnsi="Arial"/>
                <w:sz w:val="14"/>
                <w:szCs w:val="14"/>
                <w:color w:val="auto"/>
              </w:rPr>
              <w:t>Person</w:t>
            </w:r>
          </w:p>
        </w:tc>
        <w:tc>
          <w:tcPr>
            <w:tcW w:w="460" w:type="dxa"/>
            <w:vAlign w:val="bottom"/>
          </w:tcPr>
          <w:p>
            <w:pPr>
              <w:jc w:val="right"/>
              <w:ind w:right="48"/>
              <w:spacing w:after="0"/>
              <w:rPr>
                <w:sz w:val="20"/>
                <w:szCs w:val="20"/>
                <w:color w:val="auto"/>
              </w:rPr>
            </w:pPr>
            <w:r>
              <w:rPr>
                <w:rFonts w:ascii="Arial" w:cs="Arial" w:eastAsia="Arial" w:hAnsi="Arial"/>
                <w:sz w:val="14"/>
                <w:szCs w:val="14"/>
                <w:color w:val="auto"/>
              </w:rPr>
              <w:t>9</w:t>
            </w:r>
          </w:p>
        </w:tc>
        <w:tc>
          <w:tcPr>
            <w:tcW w:w="3520" w:type="dxa"/>
            <w:vAlign w:val="bottom"/>
          </w:tcPr>
          <w:p>
            <w:pPr>
              <w:ind w:left="100"/>
              <w:spacing w:after="0"/>
              <w:rPr>
                <w:sz w:val="20"/>
                <w:szCs w:val="20"/>
                <w:color w:val="auto"/>
              </w:rPr>
            </w:pPr>
            <w:r>
              <w:rPr>
                <w:rFonts w:ascii="Arial" w:cs="Arial" w:eastAsia="Arial" w:hAnsi="Arial"/>
                <w:sz w:val="18"/>
                <w:szCs w:val="18"/>
                <w:b w:val="1"/>
                <w:bCs w:val="1"/>
                <w:color w:val="auto"/>
              </w:rPr>
              <w:t xml:space="preserve">Person </w:t>
            </w:r>
            <w:r>
              <w:rPr>
                <w:rFonts w:ascii="Arial" w:cs="Arial" w:eastAsia="Arial" w:hAnsi="Arial"/>
                <w:sz w:val="18"/>
                <w:szCs w:val="18"/>
                <w:color w:val="auto"/>
              </w:rPr>
              <w:t>bedeutet jede natürliche Person,</w:t>
            </w:r>
          </w:p>
        </w:tc>
        <w:tc>
          <w:tcPr>
            <w:tcW w:w="560" w:type="dxa"/>
            <w:vAlign w:val="bottom"/>
          </w:tcPr>
          <w:p>
            <w:pPr>
              <w:ind w:left="100"/>
              <w:spacing w:after="0"/>
              <w:rPr>
                <w:sz w:val="20"/>
                <w:szCs w:val="20"/>
                <w:color w:val="auto"/>
              </w:rPr>
            </w:pPr>
            <w:r>
              <w:rPr>
                <w:rFonts w:ascii="Arial" w:cs="Arial" w:eastAsia="Arial" w:hAnsi="Arial"/>
                <w:sz w:val="14"/>
                <w:szCs w:val="14"/>
                <w:color w:val="auto"/>
                <w:w w:val="99"/>
              </w:rPr>
              <w:t>Person</w:t>
            </w:r>
          </w:p>
        </w:tc>
      </w:tr>
    </w:tbl>
    <w:p>
      <w:pPr>
        <w:ind w:left="1260" w:right="780"/>
        <w:spacing w:after="0" w:line="239" w:lineRule="auto"/>
        <w:rPr>
          <w:sz w:val="20"/>
          <w:szCs w:val="20"/>
          <w:color w:val="auto"/>
        </w:rPr>
      </w:pPr>
      <w:r>
        <w:rPr>
          <w:rFonts w:ascii="Arial" w:cs="Arial" w:eastAsia="Arial" w:hAnsi="Arial"/>
          <w:sz w:val="18"/>
          <w:szCs w:val="18"/>
          <w:color w:val="auto"/>
        </w:rPr>
        <w:t>jede Kapitalgesellschaft, rechts- oder nicht-rechtsfähige Personengesellschaft oder jeder andere Rechtsträger. Für die Zwecke von Artikel 29e dieser Statuten sind Individuen nicht erfasst.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0" w:lineRule="exact"/>
        <w:rPr>
          <w:sz w:val="20"/>
          <w:szCs w:val="20"/>
          <w:color w:val="auto"/>
        </w:rPr>
      </w:pPr>
    </w:p>
    <w:p>
      <w:pPr>
        <w:ind w:left="299" w:right="80"/>
        <w:spacing w:after="0" w:line="272" w:lineRule="auto"/>
        <w:rPr>
          <w:sz w:val="20"/>
          <w:szCs w:val="20"/>
          <w:color w:val="auto"/>
        </w:rPr>
      </w:pPr>
      <w:r>
        <w:rPr>
          <w:rFonts w:ascii="Arial" w:cs="Arial" w:eastAsia="Arial" w:hAnsi="Arial"/>
          <w:sz w:val="17"/>
          <w:szCs w:val="17"/>
          <w:color w:val="auto"/>
        </w:rPr>
        <w:t>Person is a director, officer or partner or is, directly or indirectly, the Owner of 20% or more of any class of voting shares,</w:t>
      </w:r>
    </w:p>
    <w:p>
      <w:pPr>
        <w:spacing w:after="0" w:line="1" w:lineRule="exact"/>
        <w:rPr>
          <w:sz w:val="20"/>
          <w:szCs w:val="20"/>
          <w:color w:val="auto"/>
        </w:rPr>
      </w:pPr>
    </w:p>
    <w:p>
      <w:pPr>
        <w:ind w:left="299" w:hanging="2"/>
        <w:spacing w:after="0" w:line="252" w:lineRule="auto"/>
        <w:tabs>
          <w:tab w:leader="none" w:pos="549" w:val="left"/>
        </w:tabs>
        <w:numPr>
          <w:ilvl w:val="0"/>
          <w:numId w:val="201"/>
        </w:numPr>
        <w:rPr>
          <w:rFonts w:ascii="Arial" w:cs="Arial" w:eastAsia="Arial" w:hAnsi="Arial"/>
          <w:sz w:val="18"/>
          <w:szCs w:val="18"/>
          <w:color w:val="auto"/>
        </w:rPr>
      </w:pPr>
      <w:r>
        <w:rPr>
          <w:rFonts w:ascii="Arial" w:cs="Arial" w:eastAsia="Arial" w:hAnsi="Arial"/>
          <w:sz w:val="18"/>
          <w:szCs w:val="18"/>
          <w:color w:val="auto"/>
        </w:rPr>
        <w:t>any trust or other estate in which such Person has at least a 20% beneficial interest or as to which such Person serves as trustee or in a similar fiduciary capacity, and (iii) any relative or spouse of such Person, or any relative of such spouse, who has the same residence as such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left="299" w:right="160" w:hanging="299"/>
        <w:spacing w:after="0" w:line="215" w:lineRule="auto"/>
        <w:tabs>
          <w:tab w:leader="none" w:pos="299" w:val="left"/>
        </w:tabs>
        <w:numPr>
          <w:ilvl w:val="0"/>
          <w:numId w:val="202"/>
        </w:numPr>
        <w:rPr>
          <w:rFonts w:ascii="Arial" w:cs="Arial" w:eastAsia="Arial" w:hAnsi="Arial"/>
          <w:sz w:val="29"/>
          <w:szCs w:val="29"/>
          <w:color w:val="auto"/>
          <w:vertAlign w:val="subscript"/>
        </w:rPr>
      </w:pPr>
      <w:r>
        <w:rPr>
          <w:rFonts w:ascii="Arial" w:cs="Arial" w:eastAsia="Arial" w:hAnsi="Arial"/>
          <w:sz w:val="18"/>
          <w:szCs w:val="18"/>
          <w:color w:val="auto"/>
        </w:rPr>
        <w:t xml:space="preserve">The term </w:t>
      </w:r>
      <w:r>
        <w:rPr>
          <w:rFonts w:ascii="Arial" w:cs="Arial" w:eastAsia="Arial" w:hAnsi="Arial"/>
          <w:sz w:val="18"/>
          <w:szCs w:val="18"/>
          <w:b w:val="1"/>
          <w:bCs w:val="1"/>
          <w:color w:val="auto"/>
        </w:rPr>
        <w:t>CO</w:t>
      </w:r>
      <w:r>
        <w:rPr>
          <w:rFonts w:ascii="Arial" w:cs="Arial" w:eastAsia="Arial" w:hAnsi="Arial"/>
          <w:sz w:val="18"/>
          <w:szCs w:val="18"/>
          <w:color w:val="auto"/>
        </w:rPr>
        <w:t xml:space="preserve"> has the meaning assigned to it in Article 14 para. 2 of these Articles of Association.</w:t>
      </w:r>
    </w:p>
    <w:p>
      <w:pPr>
        <w:spacing w:after="0" w:line="302" w:lineRule="exact"/>
        <w:rPr>
          <w:sz w:val="20"/>
          <w:szCs w:val="20"/>
          <w:color w:val="auto"/>
        </w:rPr>
      </w:pPr>
    </w:p>
    <w:p>
      <w:pPr>
        <w:ind w:left="299" w:right="180" w:hanging="299"/>
        <w:spacing w:after="0" w:line="231" w:lineRule="auto"/>
        <w:tabs>
          <w:tab w:leader="none" w:pos="299" w:val="left"/>
        </w:tabs>
        <w:numPr>
          <w:ilvl w:val="0"/>
          <w:numId w:val="203"/>
        </w:numPr>
        <w:rPr>
          <w:rFonts w:ascii="Arial" w:cs="Arial" w:eastAsia="Arial" w:hAnsi="Arial"/>
          <w:sz w:val="29"/>
          <w:szCs w:val="29"/>
          <w:color w:val="auto"/>
          <w:vertAlign w:val="subscript"/>
        </w:rPr>
      </w:pPr>
      <w:r>
        <w:rPr>
          <w:rFonts w:ascii="Arial" w:cs="Arial" w:eastAsia="Arial" w:hAnsi="Arial"/>
          <w:sz w:val="18"/>
          <w:szCs w:val="18"/>
          <w:b w:val="1"/>
          <w:bCs w:val="1"/>
          <w:color w:val="auto"/>
        </w:rPr>
        <w:t xml:space="preserve">Person </w:t>
      </w:r>
      <w:r>
        <w:rPr>
          <w:rFonts w:ascii="Arial" w:cs="Arial" w:eastAsia="Arial" w:hAnsi="Arial"/>
          <w:sz w:val="18"/>
          <w:szCs w:val="18"/>
          <w:color w:val="auto"/>
        </w:rPr>
        <w:t>means any individual,</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partnership, unincorporated association or other entity. For purposes of Article 29e of these Articles of Association, it shall not include individuals.</w:t>
      </w:r>
    </w:p>
    <w:p>
      <w:pPr>
        <w:spacing w:after="0" w:line="200" w:lineRule="exact"/>
        <w:rPr>
          <w:sz w:val="20"/>
          <w:szCs w:val="20"/>
          <w:color w:val="auto"/>
        </w:rPr>
      </w:pPr>
    </w:p>
    <w:p>
      <w:pPr>
        <w:sectPr>
          <w:pgSz w:w="11900" w:h="16838" w:orient="portrait"/>
          <w:cols w:equalWidth="0" w:num="2">
            <w:col w:w="5240" w:space="421"/>
            <w:col w:w="3679"/>
          </w:cols>
          <w:pgMar w:left="1220" w:top="670" w:right="1339" w:bottom="1440" w:gutter="0" w:footer="0" w:header="0"/>
          <w:type w:val="continuous"/>
        </w:sectPr>
      </w:pP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0" w:type="dxa"/>
            <w:vAlign w:val="bottom"/>
          </w:tcPr>
          <w:p>
            <w:pPr>
              <w:spacing w:after="0"/>
              <w:rPr>
                <w:sz w:val="20"/>
                <w:szCs w:val="20"/>
                <w:color w:val="auto"/>
              </w:rPr>
            </w:pPr>
            <w:r>
              <w:rPr>
                <w:rFonts w:ascii="Arial" w:cs="Arial" w:eastAsia="Arial" w:hAnsi="Arial"/>
                <w:sz w:val="14"/>
                <w:szCs w:val="14"/>
                <w:color w:val="auto"/>
              </w:rPr>
              <w:t>Rechte</w:t>
            </w:r>
          </w:p>
        </w:tc>
        <w:tc>
          <w:tcPr>
            <w:tcW w:w="300" w:type="dxa"/>
            <w:vAlign w:val="bottom"/>
          </w:tcPr>
          <w:p>
            <w:pPr>
              <w:ind w:left="60"/>
              <w:spacing w:after="0"/>
              <w:rPr>
                <w:sz w:val="20"/>
                <w:szCs w:val="20"/>
                <w:color w:val="auto"/>
              </w:rPr>
            </w:pPr>
            <w:r>
              <w:rPr>
                <w:rFonts w:ascii="Arial" w:cs="Arial" w:eastAsia="Arial" w:hAnsi="Arial"/>
                <w:sz w:val="14"/>
                <w:szCs w:val="14"/>
                <w:color w:val="auto"/>
              </w:rPr>
              <w:t>10</w:t>
            </w:r>
          </w:p>
        </w:tc>
        <w:tc>
          <w:tcPr>
            <w:tcW w:w="3200" w:type="dxa"/>
            <w:vAlign w:val="bottom"/>
          </w:tcPr>
          <w:p>
            <w:pPr>
              <w:ind w:left="60"/>
              <w:spacing w:after="0"/>
              <w:rPr>
                <w:sz w:val="20"/>
                <w:szCs w:val="20"/>
                <w:color w:val="auto"/>
              </w:rPr>
            </w:pPr>
            <w:r>
              <w:rPr>
                <w:rFonts w:ascii="Arial" w:cs="Arial" w:eastAsia="Arial" w:hAnsi="Arial"/>
                <w:sz w:val="18"/>
                <w:szCs w:val="18"/>
                <w:color w:val="auto"/>
              </w:rPr>
              <w:t xml:space="preserve">Der Begriff </w:t>
            </w:r>
            <w:r>
              <w:rPr>
                <w:rFonts w:ascii="Arial" w:cs="Arial" w:eastAsia="Arial" w:hAnsi="Arial"/>
                <w:sz w:val="18"/>
                <w:szCs w:val="18"/>
                <w:b w:val="1"/>
                <w:bCs w:val="1"/>
                <w:color w:val="auto"/>
              </w:rPr>
              <w:t>Rechte</w:t>
            </w:r>
            <w:r>
              <w:rPr>
                <w:rFonts w:ascii="Arial" w:cs="Arial" w:eastAsia="Arial" w:hAnsi="Arial"/>
                <w:sz w:val="18"/>
                <w:szCs w:val="18"/>
                <w:color w:val="auto"/>
              </w:rPr>
              <w:t xml:space="preserve"> hat die in Artikel 6</w:t>
            </w:r>
          </w:p>
        </w:tc>
      </w:tr>
      <w:tr>
        <w:trPr>
          <w:trHeight w:val="203"/>
        </w:trPr>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0" w:type="dxa"/>
            <w:vAlign w:val="bottom"/>
          </w:tcPr>
          <w:p>
            <w:pPr>
              <w:ind w:left="60"/>
              <w:spacing w:after="0" w:line="202" w:lineRule="exact"/>
              <w:rPr>
                <w:sz w:val="20"/>
                <w:szCs w:val="20"/>
                <w:color w:val="auto"/>
              </w:rPr>
            </w:pPr>
            <w:r>
              <w:rPr>
                <w:rFonts w:ascii="Arial" w:cs="Arial" w:eastAsia="Arial" w:hAnsi="Arial"/>
                <w:sz w:val="18"/>
                <w:szCs w:val="18"/>
                <w:color w:val="auto"/>
              </w:rPr>
              <w:t>Abs. 1 dieser Statuten aufgeführte</w:t>
            </w:r>
          </w:p>
        </w:tc>
      </w:tr>
      <w:tr>
        <w:trPr>
          <w:trHeight w:val="239"/>
        </w:trPr>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0" w:type="dxa"/>
            <w:vAlign w:val="bottom"/>
          </w:tcPr>
          <w:p>
            <w:pPr>
              <w:ind w:left="60"/>
              <w:spacing w:after="0"/>
              <w:rPr>
                <w:sz w:val="20"/>
                <w:szCs w:val="20"/>
                <w:color w:val="auto"/>
              </w:rPr>
            </w:pPr>
            <w:r>
              <w:rPr>
                <w:rFonts w:ascii="Arial" w:cs="Arial" w:eastAsia="Arial" w:hAnsi="Arial"/>
                <w:sz w:val="18"/>
                <w:szCs w:val="18"/>
                <w:color w:val="auto"/>
              </w:rPr>
              <w:t>Bedeutung.</w:t>
            </w:r>
          </w:p>
        </w:tc>
      </w:tr>
      <w:tr>
        <w:trPr>
          <w:trHeight w:val="490"/>
        </w:trPr>
        <w:tc>
          <w:tcPr>
            <w:tcW w:w="900" w:type="dxa"/>
            <w:vAlign w:val="bottom"/>
          </w:tcPr>
          <w:p>
            <w:pPr>
              <w:spacing w:after="0"/>
              <w:rPr>
                <w:sz w:val="20"/>
                <w:szCs w:val="20"/>
                <w:color w:val="auto"/>
              </w:rPr>
            </w:pPr>
            <w:r>
              <w:rPr>
                <w:rFonts w:ascii="Arial" w:cs="Arial" w:eastAsia="Arial" w:hAnsi="Arial"/>
                <w:sz w:val="14"/>
                <w:szCs w:val="14"/>
                <w:color w:val="auto"/>
              </w:rPr>
              <w:t>Mit Rechten</w:t>
            </w:r>
          </w:p>
        </w:tc>
        <w:tc>
          <w:tcPr>
            <w:tcW w:w="300" w:type="dxa"/>
            <w:vAlign w:val="bottom"/>
          </w:tcPr>
          <w:p>
            <w:pPr>
              <w:ind w:left="60"/>
              <w:spacing w:after="0"/>
              <w:rPr>
                <w:sz w:val="20"/>
                <w:szCs w:val="20"/>
                <w:color w:val="auto"/>
              </w:rPr>
            </w:pPr>
            <w:r>
              <w:rPr>
                <w:rFonts w:ascii="Arial" w:cs="Arial" w:eastAsia="Arial" w:hAnsi="Arial"/>
                <w:sz w:val="14"/>
                <w:szCs w:val="14"/>
                <w:color w:val="auto"/>
              </w:rPr>
              <w:t>11</w:t>
            </w:r>
          </w:p>
        </w:tc>
        <w:tc>
          <w:tcPr>
            <w:tcW w:w="3200" w:type="dxa"/>
            <w:vAlign w:val="bottom"/>
          </w:tcPr>
          <w:p>
            <w:pPr>
              <w:ind w:left="60"/>
              <w:spacing w:after="0"/>
              <w:rPr>
                <w:sz w:val="20"/>
                <w:szCs w:val="20"/>
                <w:color w:val="auto"/>
              </w:rPr>
            </w:pPr>
            <w:r>
              <w:rPr>
                <w:rFonts w:ascii="Arial" w:cs="Arial" w:eastAsia="Arial" w:hAnsi="Arial"/>
                <w:sz w:val="18"/>
                <w:szCs w:val="18"/>
                <w:color w:val="auto"/>
                <w:w w:val="99"/>
              </w:rPr>
              <w:t xml:space="preserve">Der Begriff </w:t>
            </w:r>
            <w:r>
              <w:rPr>
                <w:rFonts w:ascii="Arial" w:cs="Arial" w:eastAsia="Arial" w:hAnsi="Arial"/>
                <w:sz w:val="18"/>
                <w:szCs w:val="18"/>
                <w:b w:val="1"/>
                <w:bCs w:val="1"/>
                <w:color w:val="auto"/>
                <w:w w:val="99"/>
              </w:rPr>
              <w:t>mit Rechten verbundenen</w:t>
            </w:r>
          </w:p>
        </w:tc>
      </w:tr>
      <w:tr>
        <w:trPr>
          <w:trHeight w:val="181"/>
        </w:trPr>
        <w:tc>
          <w:tcPr>
            <w:tcW w:w="900" w:type="dxa"/>
            <w:vAlign w:val="bottom"/>
          </w:tcPr>
          <w:p>
            <w:pPr>
              <w:spacing w:after="0"/>
              <w:rPr>
                <w:sz w:val="20"/>
                <w:szCs w:val="20"/>
                <w:color w:val="auto"/>
              </w:rPr>
            </w:pPr>
            <w:r>
              <w:rPr>
                <w:rFonts w:ascii="Arial" w:cs="Arial" w:eastAsia="Arial" w:hAnsi="Arial"/>
                <w:sz w:val="14"/>
                <w:szCs w:val="14"/>
                <w:color w:val="auto"/>
              </w:rPr>
              <w:t>verbundenen</w:t>
            </w:r>
          </w:p>
        </w:tc>
        <w:tc>
          <w:tcPr>
            <w:tcW w:w="300" w:type="dxa"/>
            <w:vAlign w:val="bottom"/>
          </w:tcPr>
          <w:p>
            <w:pPr>
              <w:spacing w:after="0"/>
              <w:rPr>
                <w:sz w:val="15"/>
                <w:szCs w:val="15"/>
                <w:color w:val="auto"/>
              </w:rPr>
            </w:pPr>
          </w:p>
        </w:tc>
        <w:tc>
          <w:tcPr>
            <w:tcW w:w="3200" w:type="dxa"/>
            <w:vAlign w:val="bottom"/>
          </w:tcPr>
          <w:p>
            <w:pPr>
              <w:ind w:left="60"/>
              <w:spacing w:after="0" w:line="181" w:lineRule="exact"/>
              <w:rPr>
                <w:sz w:val="20"/>
                <w:szCs w:val="20"/>
                <w:color w:val="auto"/>
              </w:rPr>
            </w:pPr>
            <w:r>
              <w:rPr>
                <w:rFonts w:ascii="Arial" w:cs="Arial" w:eastAsia="Arial" w:hAnsi="Arial"/>
                <w:sz w:val="18"/>
                <w:szCs w:val="18"/>
                <w:b w:val="1"/>
                <w:bCs w:val="1"/>
                <w:color w:val="auto"/>
                <w:w w:val="99"/>
              </w:rPr>
              <w:t xml:space="preserve">Obligationen </w:t>
            </w:r>
            <w:r>
              <w:rPr>
                <w:rFonts w:ascii="Arial" w:cs="Arial" w:eastAsia="Arial" w:hAnsi="Arial"/>
                <w:sz w:val="18"/>
                <w:szCs w:val="18"/>
                <w:color w:val="auto"/>
                <w:w w:val="99"/>
              </w:rPr>
              <w:t>hat die in Artikel 6 Abs. 1</w:t>
            </w:r>
          </w:p>
        </w:tc>
      </w:tr>
      <w:tr>
        <w:trPr>
          <w:trHeight w:val="274"/>
        </w:trPr>
        <w:tc>
          <w:tcPr>
            <w:tcW w:w="900" w:type="dxa"/>
            <w:vAlign w:val="bottom"/>
          </w:tcPr>
          <w:p>
            <w:pPr>
              <w:spacing w:after="0"/>
              <w:rPr>
                <w:sz w:val="20"/>
                <w:szCs w:val="20"/>
                <w:color w:val="auto"/>
              </w:rPr>
            </w:pPr>
            <w:r>
              <w:rPr>
                <w:rFonts w:ascii="Arial" w:cs="Arial" w:eastAsia="Arial" w:hAnsi="Arial"/>
                <w:sz w:val="14"/>
                <w:szCs w:val="14"/>
                <w:color w:val="auto"/>
              </w:rPr>
              <w:t>Obligationen</w:t>
            </w:r>
          </w:p>
        </w:tc>
        <w:tc>
          <w:tcPr>
            <w:tcW w:w="300" w:type="dxa"/>
            <w:vAlign w:val="bottom"/>
          </w:tcPr>
          <w:p>
            <w:pPr>
              <w:spacing w:after="0"/>
              <w:rPr>
                <w:sz w:val="23"/>
                <w:szCs w:val="23"/>
                <w:color w:val="auto"/>
              </w:rPr>
            </w:pPr>
          </w:p>
        </w:tc>
        <w:tc>
          <w:tcPr>
            <w:tcW w:w="3200" w:type="dxa"/>
            <w:vAlign w:val="bottom"/>
          </w:tcPr>
          <w:p>
            <w:pPr>
              <w:ind w:left="60"/>
              <w:spacing w:after="0"/>
              <w:rPr>
                <w:sz w:val="20"/>
                <w:szCs w:val="20"/>
                <w:color w:val="auto"/>
              </w:rPr>
            </w:pPr>
            <w:r>
              <w:rPr>
                <w:rFonts w:ascii="Arial" w:cs="Arial" w:eastAsia="Arial" w:hAnsi="Arial"/>
                <w:sz w:val="18"/>
                <w:szCs w:val="18"/>
                <w:color w:val="auto"/>
                <w:w w:val="99"/>
              </w:rPr>
              <w:t>dieser Statuten aufgeführte Bedeutung.</w:t>
            </w:r>
          </w:p>
        </w:tc>
      </w:tr>
    </w:tbl>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auto"/>
        </w:rPr>
        <w:t>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color w:val="auto"/>
        </w:rPr>
        <w:t>Rights-</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Bearing</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Obligations</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20" w:type="dxa"/>
            <w:vAlign w:val="bottom"/>
          </w:tcPr>
          <w:p>
            <w:pPr>
              <w:spacing w:after="0"/>
              <w:rPr>
                <w:sz w:val="20"/>
                <w:szCs w:val="20"/>
                <w:color w:val="auto"/>
              </w:rPr>
            </w:pPr>
            <w:r>
              <w:rPr>
                <w:rFonts w:ascii="Arial" w:cs="Arial" w:eastAsia="Arial" w:hAnsi="Arial"/>
                <w:sz w:val="14"/>
                <w:szCs w:val="14"/>
                <w:color w:val="auto"/>
              </w:rPr>
              <w:t>10</w:t>
            </w:r>
          </w:p>
        </w:tc>
        <w:tc>
          <w:tcPr>
            <w:tcW w:w="3320" w:type="dxa"/>
            <w:vAlign w:val="bottom"/>
          </w:tcPr>
          <w:p>
            <w:pPr>
              <w:ind w:left="80"/>
              <w:spacing w:after="0"/>
              <w:rPr>
                <w:sz w:val="20"/>
                <w:szCs w:val="20"/>
                <w:color w:val="auto"/>
              </w:rPr>
            </w:pPr>
            <w:r>
              <w:rPr>
                <w:rFonts w:ascii="Arial" w:cs="Arial" w:eastAsia="Arial" w:hAnsi="Arial"/>
                <w:sz w:val="18"/>
                <w:szCs w:val="18"/>
                <w:color w:val="auto"/>
              </w:rPr>
              <w:t xml:space="preserve">The term </w:t>
            </w:r>
            <w:r>
              <w:rPr>
                <w:rFonts w:ascii="Arial" w:cs="Arial" w:eastAsia="Arial" w:hAnsi="Arial"/>
                <w:sz w:val="18"/>
                <w:szCs w:val="18"/>
                <w:b w:val="1"/>
                <w:bCs w:val="1"/>
                <w:color w:val="auto"/>
              </w:rPr>
              <w:t>Rights</w:t>
            </w:r>
            <w:r>
              <w:rPr>
                <w:rFonts w:ascii="Arial" w:cs="Arial" w:eastAsia="Arial" w:hAnsi="Arial"/>
                <w:sz w:val="18"/>
                <w:szCs w:val="18"/>
                <w:color w:val="auto"/>
              </w:rPr>
              <w:t xml:space="preserve"> has the meaning</w:t>
            </w:r>
          </w:p>
        </w:tc>
      </w:tr>
      <w:tr>
        <w:trPr>
          <w:trHeight w:val="216"/>
        </w:trPr>
        <w:tc>
          <w:tcPr>
            <w:tcW w:w="220" w:type="dxa"/>
            <w:vAlign w:val="bottom"/>
          </w:tcPr>
          <w:p>
            <w:pPr>
              <w:spacing w:after="0"/>
              <w:rPr>
                <w:sz w:val="18"/>
                <w:szCs w:val="18"/>
                <w:color w:val="auto"/>
              </w:rPr>
            </w:pPr>
          </w:p>
        </w:tc>
        <w:tc>
          <w:tcPr>
            <w:tcW w:w="3320" w:type="dxa"/>
            <w:vAlign w:val="bottom"/>
          </w:tcPr>
          <w:p>
            <w:pPr>
              <w:ind w:left="80"/>
              <w:spacing w:after="0"/>
              <w:rPr>
                <w:sz w:val="20"/>
                <w:szCs w:val="20"/>
                <w:color w:val="auto"/>
              </w:rPr>
            </w:pPr>
            <w:r>
              <w:rPr>
                <w:rFonts w:ascii="Arial" w:cs="Arial" w:eastAsia="Arial" w:hAnsi="Arial"/>
                <w:sz w:val="18"/>
                <w:szCs w:val="18"/>
                <w:color w:val="auto"/>
                <w:w w:val="99"/>
              </w:rPr>
              <w:t>assigned to it in Article 6 para. 1 of these</w:t>
            </w:r>
          </w:p>
        </w:tc>
      </w:tr>
      <w:tr>
        <w:trPr>
          <w:trHeight w:val="239"/>
        </w:trPr>
        <w:tc>
          <w:tcPr>
            <w:tcW w:w="220" w:type="dxa"/>
            <w:vAlign w:val="bottom"/>
          </w:tcPr>
          <w:p>
            <w:pPr>
              <w:spacing w:after="0"/>
              <w:rPr>
                <w:sz w:val="20"/>
                <w:szCs w:val="20"/>
                <w:color w:val="auto"/>
              </w:rPr>
            </w:pPr>
          </w:p>
        </w:tc>
        <w:tc>
          <w:tcPr>
            <w:tcW w:w="3320" w:type="dxa"/>
            <w:vAlign w:val="bottom"/>
          </w:tcPr>
          <w:p>
            <w:pPr>
              <w:ind w:left="80"/>
              <w:spacing w:after="0"/>
              <w:rPr>
                <w:sz w:val="20"/>
                <w:szCs w:val="20"/>
                <w:color w:val="auto"/>
              </w:rPr>
            </w:pPr>
            <w:r>
              <w:rPr>
                <w:rFonts w:ascii="Arial" w:cs="Arial" w:eastAsia="Arial" w:hAnsi="Arial"/>
                <w:sz w:val="18"/>
                <w:szCs w:val="18"/>
                <w:color w:val="auto"/>
              </w:rPr>
              <w:t>Articles of Association.</w:t>
            </w:r>
          </w:p>
        </w:tc>
      </w:tr>
      <w:tr>
        <w:trPr>
          <w:trHeight w:val="517"/>
        </w:trPr>
        <w:tc>
          <w:tcPr>
            <w:tcW w:w="220" w:type="dxa"/>
            <w:vAlign w:val="bottom"/>
          </w:tcPr>
          <w:p>
            <w:pPr>
              <w:spacing w:after="0"/>
              <w:rPr>
                <w:sz w:val="20"/>
                <w:szCs w:val="20"/>
                <w:color w:val="auto"/>
              </w:rPr>
            </w:pPr>
            <w:r>
              <w:rPr>
                <w:rFonts w:ascii="Arial" w:cs="Arial" w:eastAsia="Arial" w:hAnsi="Arial"/>
                <w:sz w:val="14"/>
                <w:szCs w:val="14"/>
                <w:color w:val="auto"/>
              </w:rPr>
              <w:t>11</w:t>
            </w:r>
          </w:p>
        </w:tc>
        <w:tc>
          <w:tcPr>
            <w:tcW w:w="3320" w:type="dxa"/>
            <w:vAlign w:val="bottom"/>
          </w:tcPr>
          <w:p>
            <w:pPr>
              <w:ind w:left="80"/>
              <w:spacing w:after="0"/>
              <w:rPr>
                <w:sz w:val="20"/>
                <w:szCs w:val="20"/>
                <w:color w:val="auto"/>
              </w:rPr>
            </w:pPr>
            <w:r>
              <w:rPr>
                <w:rFonts w:ascii="Arial" w:cs="Arial" w:eastAsia="Arial" w:hAnsi="Arial"/>
                <w:sz w:val="18"/>
                <w:szCs w:val="18"/>
                <w:color w:val="auto"/>
              </w:rPr>
              <w:t xml:space="preserve">The term </w:t>
            </w:r>
            <w:r>
              <w:rPr>
                <w:rFonts w:ascii="Arial" w:cs="Arial" w:eastAsia="Arial" w:hAnsi="Arial"/>
                <w:sz w:val="18"/>
                <w:szCs w:val="18"/>
                <w:b w:val="1"/>
                <w:bCs w:val="1"/>
                <w:color w:val="auto"/>
              </w:rPr>
              <w:t>Rights-Bearing Obligations</w:t>
            </w:r>
          </w:p>
        </w:tc>
      </w:tr>
      <w:tr>
        <w:trPr>
          <w:trHeight w:val="216"/>
        </w:trPr>
        <w:tc>
          <w:tcPr>
            <w:tcW w:w="220" w:type="dxa"/>
            <w:vAlign w:val="bottom"/>
          </w:tcPr>
          <w:p>
            <w:pPr>
              <w:spacing w:after="0"/>
              <w:rPr>
                <w:sz w:val="18"/>
                <w:szCs w:val="18"/>
                <w:color w:val="auto"/>
              </w:rPr>
            </w:pPr>
          </w:p>
        </w:tc>
        <w:tc>
          <w:tcPr>
            <w:tcW w:w="3320" w:type="dxa"/>
            <w:vAlign w:val="bottom"/>
          </w:tcPr>
          <w:p>
            <w:pPr>
              <w:ind w:left="80"/>
              <w:spacing w:after="0"/>
              <w:rPr>
                <w:sz w:val="20"/>
                <w:szCs w:val="20"/>
                <w:color w:val="auto"/>
              </w:rPr>
            </w:pPr>
            <w:r>
              <w:rPr>
                <w:rFonts w:ascii="Arial" w:cs="Arial" w:eastAsia="Arial" w:hAnsi="Arial"/>
                <w:sz w:val="18"/>
                <w:szCs w:val="18"/>
                <w:color w:val="auto"/>
              </w:rPr>
              <w:t>has the meaning assigned to it in</w:t>
            </w:r>
          </w:p>
        </w:tc>
      </w:tr>
      <w:tr>
        <w:trPr>
          <w:trHeight w:val="216"/>
        </w:trPr>
        <w:tc>
          <w:tcPr>
            <w:tcW w:w="220" w:type="dxa"/>
            <w:vAlign w:val="bottom"/>
          </w:tcPr>
          <w:p>
            <w:pPr>
              <w:spacing w:after="0"/>
              <w:rPr>
                <w:sz w:val="18"/>
                <w:szCs w:val="18"/>
                <w:color w:val="auto"/>
              </w:rPr>
            </w:pPr>
          </w:p>
        </w:tc>
        <w:tc>
          <w:tcPr>
            <w:tcW w:w="3320" w:type="dxa"/>
            <w:vAlign w:val="bottom"/>
          </w:tcPr>
          <w:p>
            <w:pPr>
              <w:ind w:left="80"/>
              <w:spacing w:after="0"/>
              <w:rPr>
                <w:sz w:val="20"/>
                <w:szCs w:val="20"/>
                <w:color w:val="auto"/>
              </w:rPr>
            </w:pPr>
            <w:r>
              <w:rPr>
                <w:rFonts w:ascii="Arial" w:cs="Arial" w:eastAsia="Arial" w:hAnsi="Arial"/>
                <w:sz w:val="18"/>
                <w:szCs w:val="18"/>
                <w:color w:val="auto"/>
              </w:rPr>
              <w:t>Article 6 para. 1 of these Articles of</w:t>
            </w:r>
          </w:p>
        </w:tc>
      </w:tr>
      <w:tr>
        <w:trPr>
          <w:trHeight w:val="239"/>
        </w:trPr>
        <w:tc>
          <w:tcPr>
            <w:tcW w:w="220" w:type="dxa"/>
            <w:vAlign w:val="bottom"/>
          </w:tcPr>
          <w:p>
            <w:pPr>
              <w:spacing w:after="0"/>
              <w:rPr>
                <w:sz w:val="20"/>
                <w:szCs w:val="20"/>
                <w:color w:val="auto"/>
              </w:rPr>
            </w:pPr>
          </w:p>
        </w:tc>
        <w:tc>
          <w:tcPr>
            <w:tcW w:w="3320" w:type="dxa"/>
            <w:vAlign w:val="bottom"/>
          </w:tcPr>
          <w:p>
            <w:pPr>
              <w:ind w:left="80"/>
              <w:spacing w:after="0"/>
              <w:rPr>
                <w:sz w:val="20"/>
                <w:szCs w:val="20"/>
                <w:color w:val="auto"/>
              </w:rPr>
            </w:pPr>
            <w:r>
              <w:rPr>
                <w:rFonts w:ascii="Arial" w:cs="Arial" w:eastAsia="Arial" w:hAnsi="Arial"/>
                <w:sz w:val="18"/>
                <w:szCs w:val="18"/>
                <w:color w:val="auto"/>
              </w:rPr>
              <w:t>Association.</w:t>
            </w:r>
          </w:p>
        </w:tc>
      </w:tr>
    </w:tbl>
    <w:p>
      <w:pPr>
        <w:spacing w:after="0" w:line="169" w:lineRule="exact"/>
        <w:rPr>
          <w:sz w:val="20"/>
          <w:szCs w:val="20"/>
          <w:color w:val="auto"/>
        </w:rPr>
      </w:pPr>
    </w:p>
    <w:p>
      <w:pPr>
        <w:sectPr>
          <w:pgSz w:w="11900" w:h="16838" w:orient="portrait"/>
          <w:cols w:equalWidth="0" w:num="3">
            <w:col w:w="4400" w:space="380"/>
            <w:col w:w="720" w:space="160"/>
            <w:col w:w="3680"/>
          </w:cols>
          <w:pgMar w:left="1220" w:top="670" w:right="1339" w:bottom="1440" w:gutter="0" w:footer="0" w:header="0"/>
          <w:type w:val="continuous"/>
        </w:sectPr>
      </w:pPr>
    </w:p>
    <w:tbl>
      <w:tblPr>
        <w:tblLayout w:type="fixed"/>
        <w:tblInd w:w="0" w:type="dxa"/>
        <w:tblCellMar>
          <w:top w:w="0" w:type="dxa"/>
          <w:left w:w="0" w:type="dxa"/>
          <w:bottom w:w="0" w:type="dxa"/>
          <w:right w:w="0" w:type="dxa"/>
        </w:tblCellMar>
      </w:tblPr>
      <w:tr>
        <w:trPr>
          <w:trHeight w:val="348"/>
        </w:trPr>
        <w:tc>
          <w:tcPr>
            <w:tcW w:w="620" w:type="dxa"/>
            <w:vAlign w:val="bottom"/>
          </w:tcPr>
          <w:p>
            <w:pPr>
              <w:spacing w:after="0"/>
              <w:rPr>
                <w:sz w:val="20"/>
                <w:szCs w:val="20"/>
                <w:color w:val="auto"/>
              </w:rPr>
            </w:pPr>
            <w:r>
              <w:rPr>
                <w:rFonts w:ascii="Arial" w:cs="Arial" w:eastAsia="Arial" w:hAnsi="Arial"/>
                <w:sz w:val="14"/>
                <w:szCs w:val="14"/>
                <w:color w:val="auto"/>
              </w:rPr>
              <w:t>SEC</w:t>
            </w:r>
          </w:p>
        </w:tc>
        <w:tc>
          <w:tcPr>
            <w:tcW w:w="3840" w:type="dxa"/>
            <w:vAlign w:val="bottom"/>
          </w:tcPr>
          <w:p>
            <w:pPr>
              <w:ind w:left="340"/>
              <w:spacing w:after="0"/>
              <w:rPr>
                <w:sz w:val="20"/>
                <w:szCs w:val="20"/>
                <w:color w:val="auto"/>
              </w:rPr>
            </w:pPr>
            <w:r>
              <w:rPr>
                <w:rFonts w:ascii="Arial" w:cs="Arial" w:eastAsia="Arial" w:hAnsi="Arial"/>
                <w:sz w:val="28"/>
                <w:szCs w:val="28"/>
                <w:color w:val="auto"/>
                <w:vertAlign w:val="subscript"/>
              </w:rPr>
              <w:t>12</w:t>
            </w:r>
            <w:r>
              <w:rPr>
                <w:rFonts w:ascii="Arial" w:cs="Arial" w:eastAsia="Arial" w:hAnsi="Arial"/>
                <w:sz w:val="18"/>
                <w:szCs w:val="18"/>
                <w:color w:val="auto"/>
              </w:rPr>
              <w:t xml:space="preserve">  Der Begriff </w:t>
            </w:r>
            <w:r>
              <w:rPr>
                <w:rFonts w:ascii="Arial" w:cs="Arial" w:eastAsia="Arial" w:hAnsi="Arial"/>
                <w:sz w:val="18"/>
                <w:szCs w:val="18"/>
                <w:b w:val="1"/>
                <w:bCs w:val="1"/>
                <w:color w:val="auto"/>
              </w:rPr>
              <w:t>SEC</w:t>
            </w:r>
            <w:r>
              <w:rPr>
                <w:rFonts w:ascii="Arial" w:cs="Arial" w:eastAsia="Arial" w:hAnsi="Arial"/>
                <w:sz w:val="18"/>
                <w:szCs w:val="18"/>
                <w:color w:val="auto"/>
              </w:rPr>
              <w:t xml:space="preserve"> hat die in Artikel 12</w:t>
            </w:r>
          </w:p>
        </w:tc>
        <w:tc>
          <w:tcPr>
            <w:tcW w:w="620" w:type="dxa"/>
            <w:vAlign w:val="bottom"/>
          </w:tcPr>
          <w:p>
            <w:pPr>
              <w:ind w:left="320"/>
              <w:spacing w:after="0"/>
              <w:rPr>
                <w:sz w:val="20"/>
                <w:szCs w:val="20"/>
                <w:color w:val="auto"/>
              </w:rPr>
            </w:pPr>
            <w:r>
              <w:rPr>
                <w:rFonts w:ascii="Arial" w:cs="Arial" w:eastAsia="Arial" w:hAnsi="Arial"/>
                <w:sz w:val="14"/>
                <w:szCs w:val="14"/>
                <w:color w:val="auto"/>
                <w:w w:val="97"/>
              </w:rPr>
              <w:t>SEC</w:t>
            </w:r>
          </w:p>
        </w:tc>
      </w:tr>
      <w:tr>
        <w:trPr>
          <w:trHeight w:val="216"/>
        </w:trPr>
        <w:tc>
          <w:tcPr>
            <w:tcW w:w="620" w:type="dxa"/>
            <w:vAlign w:val="bottom"/>
          </w:tcPr>
          <w:p>
            <w:pPr>
              <w:spacing w:after="0"/>
              <w:rPr>
                <w:sz w:val="18"/>
                <w:szCs w:val="18"/>
                <w:color w:val="auto"/>
              </w:rPr>
            </w:pPr>
          </w:p>
        </w:tc>
        <w:tc>
          <w:tcPr>
            <w:tcW w:w="3840" w:type="dxa"/>
            <w:vAlign w:val="bottom"/>
          </w:tcPr>
          <w:p>
            <w:pPr>
              <w:ind w:left="640"/>
              <w:spacing w:after="0"/>
              <w:rPr>
                <w:sz w:val="20"/>
                <w:szCs w:val="20"/>
                <w:color w:val="auto"/>
              </w:rPr>
            </w:pPr>
            <w:r>
              <w:rPr>
                <w:rFonts w:ascii="Arial" w:cs="Arial" w:eastAsia="Arial" w:hAnsi="Arial"/>
                <w:sz w:val="18"/>
                <w:szCs w:val="18"/>
                <w:color w:val="auto"/>
              </w:rPr>
              <w:t>Abs. 2 dieser Statuten aufgeführte</w:t>
            </w:r>
          </w:p>
        </w:tc>
        <w:tc>
          <w:tcPr>
            <w:tcW w:w="620" w:type="dxa"/>
            <w:vAlign w:val="bottom"/>
          </w:tcPr>
          <w:p>
            <w:pPr>
              <w:spacing w:after="0"/>
              <w:rPr>
                <w:sz w:val="18"/>
                <w:szCs w:val="18"/>
                <w:color w:val="auto"/>
              </w:rPr>
            </w:pPr>
          </w:p>
        </w:tc>
      </w:tr>
      <w:tr>
        <w:trPr>
          <w:trHeight w:val="239"/>
        </w:trPr>
        <w:tc>
          <w:tcPr>
            <w:tcW w:w="620" w:type="dxa"/>
            <w:vAlign w:val="bottom"/>
          </w:tcPr>
          <w:p>
            <w:pPr>
              <w:spacing w:after="0"/>
              <w:rPr>
                <w:sz w:val="20"/>
                <w:szCs w:val="20"/>
                <w:color w:val="auto"/>
              </w:rPr>
            </w:pPr>
          </w:p>
        </w:tc>
        <w:tc>
          <w:tcPr>
            <w:tcW w:w="3840" w:type="dxa"/>
            <w:vAlign w:val="bottom"/>
          </w:tcPr>
          <w:p>
            <w:pPr>
              <w:ind w:left="640"/>
              <w:spacing w:after="0"/>
              <w:rPr>
                <w:sz w:val="20"/>
                <w:szCs w:val="20"/>
                <w:color w:val="auto"/>
              </w:rPr>
            </w:pPr>
            <w:r>
              <w:rPr>
                <w:rFonts w:ascii="Arial" w:cs="Arial" w:eastAsia="Arial" w:hAnsi="Arial"/>
                <w:sz w:val="18"/>
                <w:szCs w:val="18"/>
                <w:color w:val="auto"/>
              </w:rPr>
              <w:t>Bedeutung.</w:t>
            </w:r>
          </w:p>
        </w:tc>
        <w:tc>
          <w:tcPr>
            <w:tcW w:w="6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546100</wp:posOffset>
            </wp:positionV>
            <wp:extent cx="629221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7"/>
          <w:szCs w:val="27"/>
          <w:color w:val="auto"/>
          <w:vertAlign w:val="subscript"/>
        </w:rPr>
        <w:t>12</w:t>
      </w:r>
      <w:r>
        <w:rPr>
          <w:rFonts w:ascii="Arial" w:cs="Arial" w:eastAsia="Arial" w:hAnsi="Arial"/>
          <w:sz w:val="17"/>
          <w:szCs w:val="17"/>
          <w:color w:val="auto"/>
        </w:rPr>
        <w:t xml:space="preserve">  The term </w:t>
      </w:r>
      <w:r>
        <w:rPr>
          <w:rFonts w:ascii="Arial" w:cs="Arial" w:eastAsia="Arial" w:hAnsi="Arial"/>
          <w:sz w:val="17"/>
          <w:szCs w:val="17"/>
          <w:b w:val="1"/>
          <w:bCs w:val="1"/>
          <w:color w:val="auto"/>
        </w:rPr>
        <w:t>SEC</w:t>
      </w:r>
      <w:r>
        <w:rPr>
          <w:rFonts w:ascii="Arial" w:cs="Arial" w:eastAsia="Arial" w:hAnsi="Arial"/>
          <w:sz w:val="17"/>
          <w:szCs w:val="17"/>
          <w:color w:val="auto"/>
        </w:rPr>
        <w:t xml:space="preserve"> has the meaning assigned</w:t>
      </w:r>
    </w:p>
    <w:p>
      <w:pPr>
        <w:spacing w:after="0" w:line="5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to it in Article 12 para. 2 of these Articles</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of Association.</w:t>
      </w:r>
    </w:p>
    <w:p>
      <w:pPr>
        <w:sectPr>
          <w:pgSz w:w="11900" w:h="16838" w:orient="portrait"/>
          <w:cols w:equalWidth="0" w:num="2">
            <w:col w:w="5080" w:space="580"/>
            <w:col w:w="3680"/>
          </w:cols>
          <w:pgMar w:left="1220" w:top="670" w:right="1339" w:bottom="1440" w:gutter="0" w:footer="0" w:header="0"/>
          <w:type w:val="continuous"/>
        </w:sectPr>
      </w:pPr>
    </w:p>
    <w:bookmarkStart w:id="53" w:name="page54"/>
    <w:bookmarkEnd w:id="53"/>
    <w:p>
      <w:pPr>
        <w:jc w:val="center"/>
        <w:ind w:right="-299"/>
        <w:spacing w:after="0"/>
        <w:rPr>
          <w:sz w:val="20"/>
          <w:szCs w:val="20"/>
          <w:color w:val="auto"/>
        </w:rPr>
      </w:pPr>
      <w:r>
        <w:rPr>
          <w:rFonts w:ascii="Arial" w:cs="Arial" w:eastAsia="Arial" w:hAnsi="Arial"/>
          <w:sz w:val="14"/>
          <w:szCs w:val="14"/>
          <w:color w:val="auto"/>
        </w:rPr>
        <w:t>- 46 -</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60" w:type="dxa"/>
            <w:vAlign w:val="bottom"/>
          </w:tcPr>
          <w:p>
            <w:pPr>
              <w:spacing w:after="0"/>
              <w:rPr>
                <w:sz w:val="20"/>
                <w:szCs w:val="20"/>
                <w:color w:val="auto"/>
              </w:rPr>
            </w:pPr>
            <w:r>
              <w:rPr>
                <w:rFonts w:ascii="Arial" w:cs="Arial" w:eastAsia="Arial" w:hAnsi="Arial"/>
                <w:sz w:val="14"/>
                <w:szCs w:val="14"/>
                <w:color w:val="auto"/>
              </w:rPr>
              <w:t>Transfer Agent</w:t>
            </w:r>
          </w:p>
        </w:tc>
        <w:tc>
          <w:tcPr>
            <w:tcW w:w="380" w:type="dxa"/>
            <w:vAlign w:val="bottom"/>
          </w:tcPr>
          <w:p>
            <w:pPr>
              <w:ind w:left="60"/>
              <w:spacing w:after="0"/>
              <w:rPr>
                <w:sz w:val="20"/>
                <w:szCs w:val="20"/>
                <w:color w:val="auto"/>
              </w:rPr>
            </w:pPr>
            <w:r>
              <w:rPr>
                <w:rFonts w:ascii="Arial" w:cs="Arial" w:eastAsia="Arial" w:hAnsi="Arial"/>
                <w:sz w:val="14"/>
                <w:szCs w:val="14"/>
                <w:color w:val="auto"/>
              </w:rPr>
              <w:t>13</w:t>
            </w:r>
          </w:p>
        </w:tc>
        <w:tc>
          <w:tcPr>
            <w:tcW w:w="3160" w:type="dxa"/>
            <w:vAlign w:val="bottom"/>
          </w:tcPr>
          <w:p>
            <w:pPr>
              <w:ind w:left="60"/>
              <w:spacing w:after="0"/>
              <w:rPr>
                <w:sz w:val="20"/>
                <w:szCs w:val="20"/>
                <w:color w:val="auto"/>
              </w:rPr>
            </w:pPr>
            <w:r>
              <w:rPr>
                <w:rFonts w:ascii="Arial" w:cs="Arial" w:eastAsia="Arial" w:hAnsi="Arial"/>
                <w:sz w:val="18"/>
                <w:szCs w:val="18"/>
                <w:color w:val="auto"/>
              </w:rPr>
              <w:t xml:space="preserve">Der Begriff </w:t>
            </w:r>
            <w:r>
              <w:rPr>
                <w:rFonts w:ascii="Arial" w:cs="Arial" w:eastAsia="Arial" w:hAnsi="Arial"/>
                <w:sz w:val="18"/>
                <w:szCs w:val="18"/>
                <w:b w:val="1"/>
                <w:bCs w:val="1"/>
                <w:color w:val="auto"/>
              </w:rPr>
              <w:t>Transfer Agent</w:t>
            </w:r>
            <w:r>
              <w:rPr>
                <w:rFonts w:ascii="Arial" w:cs="Arial" w:eastAsia="Arial" w:hAnsi="Arial"/>
                <w:sz w:val="18"/>
                <w:szCs w:val="18"/>
                <w:color w:val="auto"/>
              </w:rPr>
              <w:t xml:space="preserve"> hat die in</w:t>
            </w:r>
          </w:p>
        </w:tc>
        <w:tc>
          <w:tcPr>
            <w:tcW w:w="1120" w:type="dxa"/>
            <w:vAlign w:val="bottom"/>
          </w:tcPr>
          <w:p>
            <w:pPr>
              <w:ind w:left="140"/>
              <w:spacing w:after="0"/>
              <w:rPr>
                <w:sz w:val="20"/>
                <w:szCs w:val="20"/>
                <w:color w:val="auto"/>
              </w:rPr>
            </w:pPr>
            <w:r>
              <w:rPr>
                <w:rFonts w:ascii="Arial" w:cs="Arial" w:eastAsia="Arial" w:hAnsi="Arial"/>
                <w:sz w:val="14"/>
                <w:szCs w:val="14"/>
                <w:color w:val="auto"/>
              </w:rPr>
              <w:t>Transfer</w:t>
            </w:r>
          </w:p>
        </w:tc>
        <w:tc>
          <w:tcPr>
            <w:tcW w:w="380" w:type="dxa"/>
            <w:vAlign w:val="bottom"/>
          </w:tcPr>
          <w:p>
            <w:pPr>
              <w:ind w:left="80"/>
              <w:spacing w:after="0"/>
              <w:rPr>
                <w:sz w:val="20"/>
                <w:szCs w:val="20"/>
                <w:color w:val="auto"/>
              </w:rPr>
            </w:pPr>
            <w:r>
              <w:rPr>
                <w:rFonts w:ascii="Arial" w:cs="Arial" w:eastAsia="Arial" w:hAnsi="Arial"/>
                <w:sz w:val="14"/>
                <w:szCs w:val="14"/>
                <w:color w:val="auto"/>
              </w:rPr>
              <w:t>13</w:t>
            </w:r>
          </w:p>
        </w:tc>
        <w:tc>
          <w:tcPr>
            <w:tcW w:w="3040" w:type="dxa"/>
            <w:vAlign w:val="bottom"/>
          </w:tcPr>
          <w:p>
            <w:pPr>
              <w:ind w:left="80"/>
              <w:spacing w:after="0"/>
              <w:rPr>
                <w:sz w:val="20"/>
                <w:szCs w:val="20"/>
                <w:color w:val="auto"/>
              </w:rPr>
            </w:pPr>
            <w:r>
              <w:rPr>
                <w:rFonts w:ascii="Arial" w:cs="Arial" w:eastAsia="Arial" w:hAnsi="Arial"/>
                <w:sz w:val="18"/>
                <w:szCs w:val="18"/>
                <w:color w:val="auto"/>
              </w:rPr>
              <w:t xml:space="preserve">The term </w:t>
            </w:r>
            <w:r>
              <w:rPr>
                <w:rFonts w:ascii="Arial" w:cs="Arial" w:eastAsia="Arial" w:hAnsi="Arial"/>
                <w:sz w:val="18"/>
                <w:szCs w:val="18"/>
                <w:b w:val="1"/>
                <w:bCs w:val="1"/>
                <w:color w:val="auto"/>
              </w:rPr>
              <w:t>Transfer Agent</w:t>
            </w:r>
            <w:r>
              <w:rPr>
                <w:rFonts w:ascii="Arial" w:cs="Arial" w:eastAsia="Arial" w:hAnsi="Arial"/>
                <w:sz w:val="18"/>
                <w:szCs w:val="18"/>
                <w:color w:val="auto"/>
              </w:rPr>
              <w:t xml:space="preserve"> has the</w:t>
            </w:r>
          </w:p>
        </w:tc>
      </w:tr>
      <w:tr>
        <w:trPr>
          <w:trHeight w:val="216"/>
        </w:trPr>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160" w:type="dxa"/>
            <w:vAlign w:val="bottom"/>
          </w:tcPr>
          <w:p>
            <w:pPr>
              <w:ind w:left="60"/>
              <w:spacing w:after="0"/>
              <w:rPr>
                <w:sz w:val="20"/>
                <w:szCs w:val="20"/>
                <w:color w:val="auto"/>
              </w:rPr>
            </w:pPr>
            <w:r>
              <w:rPr>
                <w:rFonts w:ascii="Arial" w:cs="Arial" w:eastAsia="Arial" w:hAnsi="Arial"/>
                <w:sz w:val="18"/>
                <w:szCs w:val="18"/>
                <w:color w:val="auto"/>
              </w:rPr>
              <w:t>Artikel 8 Abs. 3 dieser Statuten</w:t>
            </w:r>
          </w:p>
        </w:tc>
        <w:tc>
          <w:tcPr>
            <w:tcW w:w="1120" w:type="dxa"/>
            <w:vAlign w:val="bottom"/>
          </w:tcPr>
          <w:p>
            <w:pPr>
              <w:ind w:left="140"/>
              <w:spacing w:after="0"/>
              <w:rPr>
                <w:sz w:val="20"/>
                <w:szCs w:val="20"/>
                <w:color w:val="auto"/>
              </w:rPr>
            </w:pPr>
            <w:r>
              <w:rPr>
                <w:rFonts w:ascii="Arial" w:cs="Arial" w:eastAsia="Arial" w:hAnsi="Arial"/>
                <w:sz w:val="14"/>
                <w:szCs w:val="14"/>
                <w:color w:val="auto"/>
              </w:rPr>
              <w:t>Agent</w:t>
            </w:r>
          </w:p>
        </w:tc>
        <w:tc>
          <w:tcPr>
            <w:tcW w:w="380" w:type="dxa"/>
            <w:vAlign w:val="bottom"/>
          </w:tcPr>
          <w:p>
            <w:pPr>
              <w:spacing w:after="0"/>
              <w:rPr>
                <w:sz w:val="18"/>
                <w:szCs w:val="18"/>
                <w:color w:val="auto"/>
              </w:rPr>
            </w:pPr>
          </w:p>
        </w:tc>
        <w:tc>
          <w:tcPr>
            <w:tcW w:w="3040" w:type="dxa"/>
            <w:vAlign w:val="bottom"/>
          </w:tcPr>
          <w:p>
            <w:pPr>
              <w:ind w:left="80"/>
              <w:spacing w:after="0"/>
              <w:rPr>
                <w:sz w:val="20"/>
                <w:szCs w:val="20"/>
                <w:color w:val="auto"/>
              </w:rPr>
            </w:pPr>
            <w:r>
              <w:rPr>
                <w:rFonts w:ascii="Arial" w:cs="Arial" w:eastAsia="Arial" w:hAnsi="Arial"/>
                <w:sz w:val="18"/>
                <w:szCs w:val="18"/>
                <w:color w:val="auto"/>
              </w:rPr>
              <w:t>meaning assigned to it in</w:t>
            </w:r>
          </w:p>
        </w:tc>
      </w:tr>
      <w:tr>
        <w:trPr>
          <w:trHeight w:val="216"/>
        </w:trPr>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160" w:type="dxa"/>
            <w:vAlign w:val="bottom"/>
          </w:tcPr>
          <w:p>
            <w:pPr>
              <w:ind w:left="60"/>
              <w:spacing w:after="0"/>
              <w:rPr>
                <w:sz w:val="20"/>
                <w:szCs w:val="20"/>
                <w:color w:val="auto"/>
              </w:rPr>
            </w:pPr>
            <w:r>
              <w:rPr>
                <w:rFonts w:ascii="Arial" w:cs="Arial" w:eastAsia="Arial" w:hAnsi="Arial"/>
                <w:sz w:val="18"/>
                <w:szCs w:val="18"/>
                <w:color w:val="auto"/>
              </w:rPr>
              <w:t>aufgeführte Bedeutung.</w:t>
            </w: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40" w:type="dxa"/>
            <w:vAlign w:val="bottom"/>
          </w:tcPr>
          <w:p>
            <w:pPr>
              <w:ind w:left="80"/>
              <w:spacing w:after="0"/>
              <w:rPr>
                <w:sz w:val="20"/>
                <w:szCs w:val="20"/>
                <w:color w:val="auto"/>
              </w:rPr>
            </w:pPr>
            <w:r>
              <w:rPr>
                <w:rFonts w:ascii="Arial" w:cs="Arial" w:eastAsia="Arial" w:hAnsi="Arial"/>
                <w:sz w:val="18"/>
                <w:szCs w:val="18"/>
                <w:color w:val="auto"/>
              </w:rPr>
              <w:t>Article 8 para. 3 of these Articles of</w:t>
            </w:r>
          </w:p>
        </w:tc>
      </w:tr>
      <w:tr>
        <w:trPr>
          <w:trHeight w:val="239"/>
        </w:trPr>
        <w:tc>
          <w:tcPr>
            <w:tcW w:w="1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40" w:type="dxa"/>
            <w:vAlign w:val="bottom"/>
          </w:tcPr>
          <w:p>
            <w:pPr>
              <w:ind w:left="80"/>
              <w:spacing w:after="0"/>
              <w:rPr>
                <w:sz w:val="20"/>
                <w:szCs w:val="20"/>
                <w:color w:val="auto"/>
              </w:rPr>
            </w:pPr>
            <w:r>
              <w:rPr>
                <w:rFonts w:ascii="Arial" w:cs="Arial" w:eastAsia="Arial" w:hAnsi="Arial"/>
                <w:sz w:val="18"/>
                <w:szCs w:val="18"/>
                <w:color w:val="auto"/>
              </w:rPr>
              <w:t>Association.</w:t>
            </w:r>
          </w:p>
        </w:tc>
      </w:tr>
      <w:tr>
        <w:trPr>
          <w:trHeight w:val="517"/>
        </w:trPr>
        <w:tc>
          <w:tcPr>
            <w:tcW w:w="1260" w:type="dxa"/>
            <w:vAlign w:val="bottom"/>
          </w:tcPr>
          <w:p>
            <w:pPr>
              <w:spacing w:after="0"/>
              <w:rPr>
                <w:sz w:val="20"/>
                <w:szCs w:val="20"/>
                <w:color w:val="auto"/>
              </w:rPr>
            </w:pPr>
            <w:r>
              <w:rPr>
                <w:rFonts w:ascii="Arial" w:cs="Arial" w:eastAsia="Arial" w:hAnsi="Arial"/>
                <w:sz w:val="14"/>
                <w:szCs w:val="14"/>
                <w:color w:val="auto"/>
              </w:rPr>
              <w:t>Vergütung</w:t>
            </w:r>
          </w:p>
        </w:tc>
        <w:tc>
          <w:tcPr>
            <w:tcW w:w="380" w:type="dxa"/>
            <w:vAlign w:val="bottom"/>
          </w:tcPr>
          <w:p>
            <w:pPr>
              <w:ind w:left="60"/>
              <w:spacing w:after="0"/>
              <w:rPr>
                <w:sz w:val="20"/>
                <w:szCs w:val="20"/>
                <w:color w:val="auto"/>
              </w:rPr>
            </w:pPr>
            <w:r>
              <w:rPr>
                <w:rFonts w:ascii="Arial" w:cs="Arial" w:eastAsia="Arial" w:hAnsi="Arial"/>
                <w:sz w:val="14"/>
                <w:szCs w:val="14"/>
                <w:color w:val="auto"/>
              </w:rPr>
              <w:t>13a</w:t>
            </w:r>
          </w:p>
        </w:tc>
        <w:tc>
          <w:tcPr>
            <w:tcW w:w="3160" w:type="dxa"/>
            <w:vAlign w:val="bottom"/>
          </w:tcPr>
          <w:p>
            <w:pPr>
              <w:ind w:left="60"/>
              <w:spacing w:after="0"/>
              <w:rPr>
                <w:sz w:val="20"/>
                <w:szCs w:val="20"/>
                <w:color w:val="auto"/>
              </w:rPr>
            </w:pPr>
            <w:r>
              <w:rPr>
                <w:rFonts w:ascii="Arial" w:cs="Arial" w:eastAsia="Arial" w:hAnsi="Arial"/>
                <w:sz w:val="18"/>
                <w:szCs w:val="18"/>
                <w:color w:val="auto"/>
              </w:rPr>
              <w:t xml:space="preserve">Der Begriff </w:t>
            </w:r>
            <w:r>
              <w:rPr>
                <w:rFonts w:ascii="Arial" w:cs="Arial" w:eastAsia="Arial" w:hAnsi="Arial"/>
                <w:sz w:val="18"/>
                <w:szCs w:val="18"/>
                <w:b w:val="1"/>
                <w:bCs w:val="1"/>
                <w:color w:val="auto"/>
              </w:rPr>
              <w:t>Vergütung</w:t>
            </w:r>
            <w:r>
              <w:rPr>
                <w:rFonts w:ascii="Arial" w:cs="Arial" w:eastAsia="Arial" w:hAnsi="Arial"/>
                <w:sz w:val="18"/>
                <w:szCs w:val="18"/>
                <w:color w:val="auto"/>
              </w:rPr>
              <w:t xml:space="preserve"> hat die in</w:t>
            </w:r>
          </w:p>
        </w:tc>
        <w:tc>
          <w:tcPr>
            <w:tcW w:w="1120" w:type="dxa"/>
            <w:vAlign w:val="bottom"/>
          </w:tcPr>
          <w:p>
            <w:pPr>
              <w:ind w:left="140"/>
              <w:spacing w:after="0"/>
              <w:rPr>
                <w:sz w:val="20"/>
                <w:szCs w:val="20"/>
                <w:color w:val="auto"/>
              </w:rPr>
            </w:pPr>
            <w:r>
              <w:rPr>
                <w:rFonts w:ascii="Arial" w:cs="Arial" w:eastAsia="Arial" w:hAnsi="Arial"/>
                <w:sz w:val="14"/>
                <w:szCs w:val="14"/>
                <w:color w:val="auto"/>
              </w:rPr>
              <w:t>Compensation</w:t>
            </w:r>
          </w:p>
        </w:tc>
        <w:tc>
          <w:tcPr>
            <w:tcW w:w="380" w:type="dxa"/>
            <w:vAlign w:val="bottom"/>
          </w:tcPr>
          <w:p>
            <w:pPr>
              <w:ind w:left="80"/>
              <w:spacing w:after="0"/>
              <w:rPr>
                <w:sz w:val="20"/>
                <w:szCs w:val="20"/>
                <w:color w:val="auto"/>
              </w:rPr>
            </w:pPr>
            <w:r>
              <w:rPr>
                <w:rFonts w:ascii="Arial" w:cs="Arial" w:eastAsia="Arial" w:hAnsi="Arial"/>
                <w:sz w:val="14"/>
                <w:szCs w:val="14"/>
                <w:color w:val="auto"/>
              </w:rPr>
              <w:t>13a</w:t>
            </w:r>
          </w:p>
        </w:tc>
        <w:tc>
          <w:tcPr>
            <w:tcW w:w="3040" w:type="dxa"/>
            <w:vAlign w:val="bottom"/>
          </w:tcPr>
          <w:p>
            <w:pPr>
              <w:ind w:left="80"/>
              <w:spacing w:after="0"/>
              <w:rPr>
                <w:sz w:val="20"/>
                <w:szCs w:val="20"/>
                <w:color w:val="auto"/>
              </w:rPr>
            </w:pPr>
            <w:r>
              <w:rPr>
                <w:rFonts w:ascii="Arial" w:cs="Arial" w:eastAsia="Arial" w:hAnsi="Arial"/>
                <w:sz w:val="18"/>
                <w:szCs w:val="18"/>
                <w:color w:val="auto"/>
              </w:rPr>
              <w:t xml:space="preserve">The term </w:t>
            </w:r>
            <w:r>
              <w:rPr>
                <w:rFonts w:ascii="Arial" w:cs="Arial" w:eastAsia="Arial" w:hAnsi="Arial"/>
                <w:sz w:val="18"/>
                <w:szCs w:val="18"/>
                <w:b w:val="1"/>
                <w:bCs w:val="1"/>
                <w:color w:val="auto"/>
              </w:rPr>
              <w:t>Compensation</w:t>
            </w:r>
            <w:r>
              <w:rPr>
                <w:rFonts w:ascii="Arial" w:cs="Arial" w:eastAsia="Arial" w:hAnsi="Arial"/>
                <w:sz w:val="18"/>
                <w:szCs w:val="18"/>
                <w:color w:val="auto"/>
              </w:rPr>
              <w:t xml:space="preserve"> has the</w:t>
            </w:r>
          </w:p>
        </w:tc>
      </w:tr>
      <w:tr>
        <w:trPr>
          <w:trHeight w:val="216"/>
        </w:trPr>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160" w:type="dxa"/>
            <w:vAlign w:val="bottom"/>
          </w:tcPr>
          <w:p>
            <w:pPr>
              <w:ind w:left="60"/>
              <w:spacing w:after="0"/>
              <w:rPr>
                <w:sz w:val="20"/>
                <w:szCs w:val="20"/>
                <w:color w:val="auto"/>
              </w:rPr>
            </w:pPr>
            <w:r>
              <w:rPr>
                <w:rFonts w:ascii="Arial" w:cs="Arial" w:eastAsia="Arial" w:hAnsi="Arial"/>
                <w:sz w:val="18"/>
                <w:szCs w:val="18"/>
                <w:color w:val="auto"/>
              </w:rPr>
              <w:t>Artikel 29a Abs. 6 dieser Statuten</w:t>
            </w: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40" w:type="dxa"/>
            <w:vAlign w:val="bottom"/>
          </w:tcPr>
          <w:p>
            <w:pPr>
              <w:ind w:left="80"/>
              <w:spacing w:after="0"/>
              <w:rPr>
                <w:sz w:val="20"/>
                <w:szCs w:val="20"/>
                <w:color w:val="auto"/>
              </w:rPr>
            </w:pPr>
            <w:r>
              <w:rPr>
                <w:rFonts w:ascii="Arial" w:cs="Arial" w:eastAsia="Arial" w:hAnsi="Arial"/>
                <w:sz w:val="18"/>
                <w:szCs w:val="18"/>
                <w:color w:val="auto"/>
              </w:rPr>
              <w:t>meaning assigned to it in Article 29a</w:t>
            </w:r>
          </w:p>
        </w:tc>
      </w:tr>
      <w:tr>
        <w:trPr>
          <w:trHeight w:val="216"/>
        </w:trPr>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160" w:type="dxa"/>
            <w:vAlign w:val="bottom"/>
          </w:tcPr>
          <w:p>
            <w:pPr>
              <w:ind w:left="60"/>
              <w:spacing w:after="0"/>
              <w:rPr>
                <w:sz w:val="20"/>
                <w:szCs w:val="20"/>
                <w:color w:val="auto"/>
              </w:rPr>
            </w:pPr>
            <w:r>
              <w:rPr>
                <w:rFonts w:ascii="Arial" w:cs="Arial" w:eastAsia="Arial" w:hAnsi="Arial"/>
                <w:sz w:val="18"/>
                <w:szCs w:val="18"/>
                <w:color w:val="auto"/>
              </w:rPr>
              <w:t>aufgeführte Bedeutung.</w:t>
            </w: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40" w:type="dxa"/>
            <w:vAlign w:val="bottom"/>
          </w:tcPr>
          <w:p>
            <w:pPr>
              <w:ind w:left="80"/>
              <w:spacing w:after="0"/>
              <w:rPr>
                <w:sz w:val="20"/>
                <w:szCs w:val="20"/>
                <w:color w:val="auto"/>
              </w:rPr>
            </w:pPr>
            <w:r>
              <w:rPr>
                <w:rFonts w:ascii="Arial" w:cs="Arial" w:eastAsia="Arial" w:hAnsi="Arial"/>
                <w:sz w:val="18"/>
                <w:szCs w:val="18"/>
                <w:color w:val="auto"/>
              </w:rPr>
              <w:t>para. 6 of these Articles of</w:t>
            </w:r>
          </w:p>
        </w:tc>
      </w:tr>
      <w:tr>
        <w:trPr>
          <w:trHeight w:val="239"/>
        </w:trPr>
        <w:tc>
          <w:tcPr>
            <w:tcW w:w="1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40" w:type="dxa"/>
            <w:vAlign w:val="bottom"/>
          </w:tcPr>
          <w:p>
            <w:pPr>
              <w:ind w:left="80"/>
              <w:spacing w:after="0"/>
              <w:rPr>
                <w:sz w:val="20"/>
                <w:szCs w:val="20"/>
                <w:color w:val="auto"/>
              </w:rPr>
            </w:pPr>
            <w:r>
              <w:rPr>
                <w:rFonts w:ascii="Arial" w:cs="Arial" w:eastAsia="Arial" w:hAnsi="Arial"/>
                <w:sz w:val="18"/>
                <w:szCs w:val="18"/>
                <w:color w:val="auto"/>
              </w:rPr>
              <w:t>Association.</w:t>
            </w:r>
          </w:p>
        </w:tc>
      </w:tr>
      <w:tr>
        <w:trPr>
          <w:trHeight w:val="517"/>
        </w:trPr>
        <w:tc>
          <w:tcPr>
            <w:tcW w:w="1260" w:type="dxa"/>
            <w:vAlign w:val="bottom"/>
          </w:tcPr>
          <w:p>
            <w:pPr>
              <w:spacing w:after="0"/>
              <w:rPr>
                <w:sz w:val="20"/>
                <w:szCs w:val="20"/>
                <w:color w:val="auto"/>
              </w:rPr>
            </w:pPr>
            <w:r>
              <w:rPr>
                <w:rFonts w:ascii="Arial" w:cs="Arial" w:eastAsia="Arial" w:hAnsi="Arial"/>
                <w:sz w:val="14"/>
                <w:szCs w:val="14"/>
                <w:color w:val="auto"/>
              </w:rPr>
              <w:t>Vergütungs-</w:t>
            </w:r>
          </w:p>
        </w:tc>
        <w:tc>
          <w:tcPr>
            <w:tcW w:w="380" w:type="dxa"/>
            <w:vAlign w:val="bottom"/>
          </w:tcPr>
          <w:p>
            <w:pPr>
              <w:ind w:left="60"/>
              <w:spacing w:after="0"/>
              <w:rPr>
                <w:sz w:val="20"/>
                <w:szCs w:val="20"/>
                <w:color w:val="auto"/>
              </w:rPr>
            </w:pPr>
            <w:r>
              <w:rPr>
                <w:rFonts w:ascii="Arial" w:cs="Arial" w:eastAsia="Arial" w:hAnsi="Arial"/>
                <w:sz w:val="14"/>
                <w:szCs w:val="14"/>
                <w:color w:val="auto"/>
              </w:rPr>
              <w:t>13b</w:t>
            </w:r>
          </w:p>
        </w:tc>
        <w:tc>
          <w:tcPr>
            <w:tcW w:w="3160" w:type="dxa"/>
            <w:vAlign w:val="bottom"/>
          </w:tcPr>
          <w:p>
            <w:pPr>
              <w:ind w:left="60"/>
              <w:spacing w:after="0"/>
              <w:rPr>
                <w:sz w:val="20"/>
                <w:szCs w:val="20"/>
                <w:color w:val="auto"/>
              </w:rPr>
            </w:pPr>
            <w:r>
              <w:rPr>
                <w:rFonts w:ascii="Arial" w:cs="Arial" w:eastAsia="Arial" w:hAnsi="Arial"/>
                <w:sz w:val="18"/>
                <w:szCs w:val="18"/>
                <w:color w:val="auto"/>
              </w:rPr>
              <w:t xml:space="preserve">Der Begriff </w:t>
            </w:r>
            <w:r>
              <w:rPr>
                <w:rFonts w:ascii="Arial" w:cs="Arial" w:eastAsia="Arial" w:hAnsi="Arial"/>
                <w:sz w:val="18"/>
                <w:szCs w:val="18"/>
                <w:b w:val="1"/>
                <w:bCs w:val="1"/>
                <w:color w:val="auto"/>
              </w:rPr>
              <w:t>Vergütungsausschuss</w:t>
            </w:r>
          </w:p>
        </w:tc>
        <w:tc>
          <w:tcPr>
            <w:tcW w:w="1120" w:type="dxa"/>
            <w:vAlign w:val="bottom"/>
          </w:tcPr>
          <w:p>
            <w:pPr>
              <w:ind w:left="140"/>
              <w:spacing w:after="0"/>
              <w:rPr>
                <w:sz w:val="20"/>
                <w:szCs w:val="20"/>
                <w:color w:val="auto"/>
              </w:rPr>
            </w:pPr>
            <w:r>
              <w:rPr>
                <w:rFonts w:ascii="Arial" w:cs="Arial" w:eastAsia="Arial" w:hAnsi="Arial"/>
                <w:sz w:val="14"/>
                <w:szCs w:val="14"/>
                <w:color w:val="auto"/>
              </w:rPr>
              <w:t>Compensation</w:t>
            </w:r>
          </w:p>
        </w:tc>
        <w:tc>
          <w:tcPr>
            <w:tcW w:w="380" w:type="dxa"/>
            <w:vAlign w:val="bottom"/>
          </w:tcPr>
          <w:p>
            <w:pPr>
              <w:ind w:left="80"/>
              <w:spacing w:after="0"/>
              <w:rPr>
                <w:sz w:val="20"/>
                <w:szCs w:val="20"/>
                <w:color w:val="auto"/>
              </w:rPr>
            </w:pPr>
            <w:r>
              <w:rPr>
                <w:rFonts w:ascii="Arial" w:cs="Arial" w:eastAsia="Arial" w:hAnsi="Arial"/>
                <w:sz w:val="14"/>
                <w:szCs w:val="14"/>
                <w:color w:val="auto"/>
              </w:rPr>
              <w:t>13b</w:t>
            </w:r>
          </w:p>
        </w:tc>
        <w:tc>
          <w:tcPr>
            <w:tcW w:w="3040" w:type="dxa"/>
            <w:vAlign w:val="bottom"/>
          </w:tcPr>
          <w:p>
            <w:pPr>
              <w:ind w:left="80"/>
              <w:spacing w:after="0"/>
              <w:rPr>
                <w:sz w:val="20"/>
                <w:szCs w:val="20"/>
                <w:color w:val="auto"/>
              </w:rPr>
            </w:pPr>
            <w:r>
              <w:rPr>
                <w:rFonts w:ascii="Arial" w:cs="Arial" w:eastAsia="Arial" w:hAnsi="Arial"/>
                <w:sz w:val="18"/>
                <w:szCs w:val="18"/>
                <w:color w:val="auto"/>
              </w:rPr>
              <w:t xml:space="preserve">The term </w:t>
            </w:r>
            <w:r>
              <w:rPr>
                <w:rFonts w:ascii="Arial" w:cs="Arial" w:eastAsia="Arial" w:hAnsi="Arial"/>
                <w:sz w:val="18"/>
                <w:szCs w:val="18"/>
                <w:b w:val="1"/>
                <w:bCs w:val="1"/>
                <w:color w:val="auto"/>
              </w:rPr>
              <w:t>Compensation</w:t>
            </w:r>
          </w:p>
        </w:tc>
      </w:tr>
      <w:tr>
        <w:trPr>
          <w:trHeight w:val="216"/>
        </w:trPr>
        <w:tc>
          <w:tcPr>
            <w:tcW w:w="1260" w:type="dxa"/>
            <w:vAlign w:val="bottom"/>
          </w:tcPr>
          <w:p>
            <w:pPr>
              <w:spacing w:after="0"/>
              <w:rPr>
                <w:sz w:val="20"/>
                <w:szCs w:val="20"/>
                <w:color w:val="auto"/>
              </w:rPr>
            </w:pPr>
            <w:r>
              <w:rPr>
                <w:rFonts w:ascii="Arial" w:cs="Arial" w:eastAsia="Arial" w:hAnsi="Arial"/>
                <w:sz w:val="14"/>
                <w:szCs w:val="14"/>
                <w:color w:val="auto"/>
              </w:rPr>
              <w:t>ausschuss</w:t>
            </w:r>
          </w:p>
        </w:tc>
        <w:tc>
          <w:tcPr>
            <w:tcW w:w="380" w:type="dxa"/>
            <w:vAlign w:val="bottom"/>
          </w:tcPr>
          <w:p>
            <w:pPr>
              <w:spacing w:after="0"/>
              <w:rPr>
                <w:sz w:val="18"/>
                <w:szCs w:val="18"/>
                <w:color w:val="auto"/>
              </w:rPr>
            </w:pPr>
          </w:p>
        </w:tc>
        <w:tc>
          <w:tcPr>
            <w:tcW w:w="3160" w:type="dxa"/>
            <w:vAlign w:val="bottom"/>
          </w:tcPr>
          <w:p>
            <w:pPr>
              <w:ind w:left="60"/>
              <w:spacing w:after="0"/>
              <w:rPr>
                <w:sz w:val="20"/>
                <w:szCs w:val="20"/>
                <w:color w:val="auto"/>
              </w:rPr>
            </w:pPr>
            <w:r>
              <w:rPr>
                <w:rFonts w:ascii="Arial" w:cs="Arial" w:eastAsia="Arial" w:hAnsi="Arial"/>
                <w:sz w:val="18"/>
                <w:szCs w:val="18"/>
                <w:color w:val="auto"/>
              </w:rPr>
              <w:t>hat die in Artikel 28a Abs. 1 dieser</w:t>
            </w:r>
          </w:p>
        </w:tc>
        <w:tc>
          <w:tcPr>
            <w:tcW w:w="1120" w:type="dxa"/>
            <w:vAlign w:val="bottom"/>
          </w:tcPr>
          <w:p>
            <w:pPr>
              <w:ind w:left="140"/>
              <w:spacing w:after="0"/>
              <w:rPr>
                <w:sz w:val="20"/>
                <w:szCs w:val="20"/>
                <w:color w:val="auto"/>
              </w:rPr>
            </w:pPr>
            <w:r>
              <w:rPr>
                <w:rFonts w:ascii="Arial" w:cs="Arial" w:eastAsia="Arial" w:hAnsi="Arial"/>
                <w:sz w:val="14"/>
                <w:szCs w:val="14"/>
                <w:color w:val="auto"/>
              </w:rPr>
              <w:t>Committee</w:t>
            </w:r>
          </w:p>
        </w:tc>
        <w:tc>
          <w:tcPr>
            <w:tcW w:w="380" w:type="dxa"/>
            <w:vAlign w:val="bottom"/>
          </w:tcPr>
          <w:p>
            <w:pPr>
              <w:spacing w:after="0"/>
              <w:rPr>
                <w:sz w:val="18"/>
                <w:szCs w:val="18"/>
                <w:color w:val="auto"/>
              </w:rPr>
            </w:pPr>
          </w:p>
        </w:tc>
        <w:tc>
          <w:tcPr>
            <w:tcW w:w="3040" w:type="dxa"/>
            <w:vAlign w:val="bottom"/>
          </w:tcPr>
          <w:p>
            <w:pPr>
              <w:ind w:left="80"/>
              <w:spacing w:after="0"/>
              <w:rPr>
                <w:sz w:val="20"/>
                <w:szCs w:val="20"/>
                <w:color w:val="auto"/>
              </w:rPr>
            </w:pPr>
            <w:r>
              <w:rPr>
                <w:rFonts w:ascii="Arial" w:cs="Arial" w:eastAsia="Arial" w:hAnsi="Arial"/>
                <w:sz w:val="18"/>
                <w:szCs w:val="18"/>
                <w:b w:val="1"/>
                <w:bCs w:val="1"/>
                <w:color w:val="auto"/>
              </w:rPr>
              <w:t xml:space="preserve">Committee </w:t>
            </w:r>
            <w:r>
              <w:rPr>
                <w:rFonts w:ascii="Arial" w:cs="Arial" w:eastAsia="Arial" w:hAnsi="Arial"/>
                <w:sz w:val="18"/>
                <w:szCs w:val="18"/>
                <w:color w:val="auto"/>
              </w:rPr>
              <w:t>has the meaning</w:t>
            </w:r>
          </w:p>
        </w:tc>
      </w:tr>
      <w:tr>
        <w:trPr>
          <w:trHeight w:val="216"/>
        </w:trPr>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160" w:type="dxa"/>
            <w:vAlign w:val="bottom"/>
          </w:tcPr>
          <w:p>
            <w:pPr>
              <w:ind w:left="60"/>
              <w:spacing w:after="0"/>
              <w:rPr>
                <w:sz w:val="20"/>
                <w:szCs w:val="20"/>
                <w:color w:val="auto"/>
              </w:rPr>
            </w:pPr>
            <w:r>
              <w:rPr>
                <w:rFonts w:ascii="Arial" w:cs="Arial" w:eastAsia="Arial" w:hAnsi="Arial"/>
                <w:sz w:val="18"/>
                <w:szCs w:val="18"/>
                <w:color w:val="auto"/>
              </w:rPr>
              <w:t>Statuten aufgeführte Bedeutung.</w:t>
            </w: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40" w:type="dxa"/>
            <w:vAlign w:val="bottom"/>
          </w:tcPr>
          <w:p>
            <w:pPr>
              <w:ind w:left="80"/>
              <w:spacing w:after="0"/>
              <w:rPr>
                <w:sz w:val="20"/>
                <w:szCs w:val="20"/>
                <w:color w:val="auto"/>
              </w:rPr>
            </w:pPr>
            <w:r>
              <w:rPr>
                <w:rFonts w:ascii="Arial" w:cs="Arial" w:eastAsia="Arial" w:hAnsi="Arial"/>
                <w:sz w:val="18"/>
                <w:szCs w:val="18"/>
                <w:color w:val="auto"/>
                <w:w w:val="99"/>
              </w:rPr>
              <w:t>assigned to it in Article 28a para. 1 of</w:t>
            </w:r>
          </w:p>
        </w:tc>
      </w:tr>
      <w:tr>
        <w:trPr>
          <w:trHeight w:val="239"/>
        </w:trPr>
        <w:tc>
          <w:tcPr>
            <w:tcW w:w="1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40" w:type="dxa"/>
            <w:vAlign w:val="bottom"/>
          </w:tcPr>
          <w:p>
            <w:pPr>
              <w:ind w:left="80"/>
              <w:spacing w:after="0"/>
              <w:rPr>
                <w:sz w:val="20"/>
                <w:szCs w:val="20"/>
                <w:color w:val="auto"/>
              </w:rPr>
            </w:pPr>
            <w:r>
              <w:rPr>
                <w:rFonts w:ascii="Arial" w:cs="Arial" w:eastAsia="Arial" w:hAnsi="Arial"/>
                <w:sz w:val="18"/>
                <w:szCs w:val="18"/>
                <w:color w:val="auto"/>
              </w:rPr>
              <w:t>these Articles of Association.</w:t>
            </w:r>
          </w:p>
        </w:tc>
      </w:tr>
      <w:tr>
        <w:trPr>
          <w:trHeight w:val="535"/>
        </w:trPr>
        <w:tc>
          <w:tcPr>
            <w:tcW w:w="1260" w:type="dxa"/>
            <w:vAlign w:val="bottom"/>
          </w:tcPr>
          <w:p>
            <w:pPr>
              <w:spacing w:after="0"/>
              <w:rPr>
                <w:sz w:val="20"/>
                <w:szCs w:val="20"/>
                <w:color w:val="auto"/>
              </w:rPr>
            </w:pPr>
            <w:r>
              <w:rPr>
                <w:rFonts w:ascii="Arial" w:cs="Arial" w:eastAsia="Arial" w:hAnsi="Arial"/>
                <w:sz w:val="14"/>
                <w:szCs w:val="14"/>
                <w:color w:val="auto"/>
              </w:rPr>
              <w:t>Zusammenschluss</w:t>
            </w:r>
          </w:p>
        </w:tc>
        <w:tc>
          <w:tcPr>
            <w:tcW w:w="380" w:type="dxa"/>
            <w:vAlign w:val="bottom"/>
          </w:tcPr>
          <w:p>
            <w:pPr>
              <w:ind w:left="60"/>
              <w:spacing w:after="0"/>
              <w:rPr>
                <w:sz w:val="20"/>
                <w:szCs w:val="20"/>
                <w:color w:val="auto"/>
              </w:rPr>
            </w:pPr>
            <w:r>
              <w:rPr>
                <w:rFonts w:ascii="Arial" w:cs="Arial" w:eastAsia="Arial" w:hAnsi="Arial"/>
                <w:sz w:val="14"/>
                <w:szCs w:val="14"/>
                <w:color w:val="auto"/>
              </w:rPr>
              <w:t>14</w:t>
            </w:r>
          </w:p>
        </w:tc>
        <w:tc>
          <w:tcPr>
            <w:tcW w:w="3160" w:type="dxa"/>
            <w:vAlign w:val="bottom"/>
          </w:tcPr>
          <w:p>
            <w:pPr>
              <w:ind w:left="60"/>
              <w:spacing w:after="0"/>
              <w:rPr>
                <w:sz w:val="20"/>
                <w:szCs w:val="20"/>
                <w:color w:val="auto"/>
              </w:rPr>
            </w:pPr>
            <w:r>
              <w:rPr>
                <w:rFonts w:ascii="Arial" w:cs="Arial" w:eastAsia="Arial" w:hAnsi="Arial"/>
                <w:sz w:val="18"/>
                <w:szCs w:val="18"/>
                <w:b w:val="1"/>
                <w:bCs w:val="1"/>
                <w:color w:val="auto"/>
              </w:rPr>
              <w:t xml:space="preserve">Zusammenschluss </w:t>
            </w:r>
            <w:r>
              <w:rPr>
                <w:rFonts w:ascii="Arial" w:cs="Arial" w:eastAsia="Arial" w:hAnsi="Arial"/>
                <w:sz w:val="18"/>
                <w:szCs w:val="18"/>
                <w:color w:val="auto"/>
              </w:rPr>
              <w:t>bedeutet, wenn</w:t>
            </w:r>
          </w:p>
        </w:tc>
        <w:tc>
          <w:tcPr>
            <w:tcW w:w="1120" w:type="dxa"/>
            <w:vAlign w:val="bottom"/>
          </w:tcPr>
          <w:p>
            <w:pPr>
              <w:ind w:left="140"/>
              <w:spacing w:after="0"/>
              <w:rPr>
                <w:sz w:val="20"/>
                <w:szCs w:val="20"/>
                <w:color w:val="auto"/>
              </w:rPr>
            </w:pPr>
            <w:r>
              <w:rPr>
                <w:rFonts w:ascii="Arial" w:cs="Arial" w:eastAsia="Arial" w:hAnsi="Arial"/>
                <w:sz w:val="14"/>
                <w:szCs w:val="14"/>
                <w:color w:val="auto"/>
              </w:rPr>
              <w:t>Business</w:t>
            </w:r>
          </w:p>
        </w:tc>
        <w:tc>
          <w:tcPr>
            <w:tcW w:w="380" w:type="dxa"/>
            <w:vAlign w:val="bottom"/>
          </w:tcPr>
          <w:p>
            <w:pPr>
              <w:ind w:left="80"/>
              <w:spacing w:after="0"/>
              <w:rPr>
                <w:sz w:val="20"/>
                <w:szCs w:val="20"/>
                <w:color w:val="auto"/>
              </w:rPr>
            </w:pPr>
            <w:r>
              <w:rPr>
                <w:rFonts w:ascii="Arial" w:cs="Arial" w:eastAsia="Arial" w:hAnsi="Arial"/>
                <w:sz w:val="14"/>
                <w:szCs w:val="14"/>
                <w:color w:val="auto"/>
              </w:rPr>
              <w:t>14</w:t>
            </w:r>
          </w:p>
        </w:tc>
        <w:tc>
          <w:tcPr>
            <w:tcW w:w="3040" w:type="dxa"/>
            <w:vAlign w:val="bottom"/>
          </w:tcPr>
          <w:p>
            <w:pPr>
              <w:ind w:left="80"/>
              <w:spacing w:after="0"/>
              <w:rPr>
                <w:sz w:val="20"/>
                <w:szCs w:val="20"/>
                <w:color w:val="auto"/>
              </w:rPr>
            </w:pPr>
            <w:r>
              <w:rPr>
                <w:rFonts w:ascii="Arial" w:cs="Arial" w:eastAsia="Arial" w:hAnsi="Arial"/>
                <w:sz w:val="18"/>
                <w:szCs w:val="18"/>
                <w:b w:val="1"/>
                <w:bCs w:val="1"/>
                <w:color w:val="auto"/>
              </w:rPr>
              <w:t>Business Combination</w:t>
            </w:r>
            <w:r>
              <w:rPr>
                <w:rFonts w:ascii="Arial" w:cs="Arial" w:eastAsia="Arial" w:hAnsi="Arial"/>
                <w:sz w:val="18"/>
                <w:szCs w:val="18"/>
                <w:color w:val="auto"/>
              </w:rPr>
              <w:t>, when used</w:t>
            </w:r>
          </w:p>
        </w:tc>
      </w:tr>
      <w:tr>
        <w:trPr>
          <w:trHeight w:val="198"/>
        </w:trPr>
        <w:tc>
          <w:tcPr>
            <w:tcW w:w="1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160" w:type="dxa"/>
            <w:vAlign w:val="bottom"/>
          </w:tcPr>
          <w:p>
            <w:pPr>
              <w:ind w:left="60"/>
              <w:spacing w:after="0" w:line="198" w:lineRule="exact"/>
              <w:rPr>
                <w:sz w:val="20"/>
                <w:szCs w:val="20"/>
                <w:color w:val="auto"/>
              </w:rPr>
            </w:pPr>
            <w:r>
              <w:rPr>
                <w:rFonts w:ascii="Arial" w:cs="Arial" w:eastAsia="Arial" w:hAnsi="Arial"/>
                <w:sz w:val="18"/>
                <w:szCs w:val="18"/>
                <w:color w:val="auto"/>
              </w:rPr>
              <w:t>im Rahmen dieser Statuten in Bezug</w:t>
            </w:r>
          </w:p>
        </w:tc>
        <w:tc>
          <w:tcPr>
            <w:tcW w:w="1120" w:type="dxa"/>
            <w:vAlign w:val="bottom"/>
          </w:tcPr>
          <w:p>
            <w:pPr>
              <w:ind w:left="140"/>
              <w:spacing w:after="0"/>
              <w:rPr>
                <w:sz w:val="20"/>
                <w:szCs w:val="20"/>
                <w:color w:val="auto"/>
              </w:rPr>
            </w:pPr>
            <w:r>
              <w:rPr>
                <w:rFonts w:ascii="Arial" w:cs="Arial" w:eastAsia="Arial" w:hAnsi="Arial"/>
                <w:sz w:val="14"/>
                <w:szCs w:val="14"/>
                <w:color w:val="auto"/>
              </w:rPr>
              <w:t>Combination</w:t>
            </w:r>
          </w:p>
        </w:tc>
        <w:tc>
          <w:tcPr>
            <w:tcW w:w="380" w:type="dxa"/>
            <w:vAlign w:val="bottom"/>
          </w:tcPr>
          <w:p>
            <w:pPr>
              <w:spacing w:after="0"/>
              <w:rPr>
                <w:sz w:val="17"/>
                <w:szCs w:val="17"/>
                <w:color w:val="auto"/>
              </w:rPr>
            </w:pPr>
          </w:p>
        </w:tc>
        <w:tc>
          <w:tcPr>
            <w:tcW w:w="3040" w:type="dxa"/>
            <w:vAlign w:val="bottom"/>
          </w:tcPr>
          <w:p>
            <w:pPr>
              <w:ind w:left="80"/>
              <w:spacing w:after="0" w:line="198" w:lineRule="exact"/>
              <w:rPr>
                <w:sz w:val="20"/>
                <w:szCs w:val="20"/>
                <w:color w:val="auto"/>
              </w:rPr>
            </w:pPr>
            <w:r>
              <w:rPr>
                <w:rFonts w:ascii="Arial" w:cs="Arial" w:eastAsia="Arial" w:hAnsi="Arial"/>
                <w:sz w:val="18"/>
                <w:szCs w:val="18"/>
                <w:color w:val="auto"/>
              </w:rPr>
              <w:t>in these Articles of Association in</w:t>
            </w:r>
          </w:p>
        </w:tc>
      </w:tr>
      <w:tr>
        <w:trPr>
          <w:trHeight w:val="216"/>
        </w:trPr>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160" w:type="dxa"/>
            <w:vAlign w:val="bottom"/>
          </w:tcPr>
          <w:p>
            <w:pPr>
              <w:ind w:left="60"/>
              <w:spacing w:after="0"/>
              <w:rPr>
                <w:sz w:val="20"/>
                <w:szCs w:val="20"/>
                <w:color w:val="auto"/>
              </w:rPr>
            </w:pPr>
            <w:r>
              <w:rPr>
                <w:rFonts w:ascii="Arial" w:cs="Arial" w:eastAsia="Arial" w:hAnsi="Arial"/>
                <w:sz w:val="18"/>
                <w:szCs w:val="18"/>
                <w:color w:val="auto"/>
              </w:rPr>
              <w:t>auf die Gesellschaft oder einen</w:t>
            </w: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40" w:type="dxa"/>
            <w:vAlign w:val="bottom"/>
          </w:tcPr>
          <w:p>
            <w:pPr>
              <w:ind w:left="80"/>
              <w:spacing w:after="0"/>
              <w:rPr>
                <w:sz w:val="20"/>
                <w:szCs w:val="20"/>
                <w:color w:val="auto"/>
              </w:rPr>
            </w:pPr>
            <w:r>
              <w:rPr>
                <w:rFonts w:ascii="Arial" w:cs="Arial" w:eastAsia="Arial" w:hAnsi="Arial"/>
                <w:sz w:val="18"/>
                <w:szCs w:val="18"/>
                <w:color w:val="auto"/>
              </w:rPr>
              <w:t>reference to the Company and any</w:t>
            </w:r>
          </w:p>
        </w:tc>
      </w:tr>
      <w:tr>
        <w:trPr>
          <w:trHeight w:val="216"/>
        </w:trPr>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160" w:type="dxa"/>
            <w:vAlign w:val="bottom"/>
          </w:tcPr>
          <w:p>
            <w:pPr>
              <w:ind w:left="60"/>
              <w:spacing w:after="0"/>
              <w:rPr>
                <w:sz w:val="20"/>
                <w:szCs w:val="20"/>
                <w:color w:val="auto"/>
              </w:rPr>
            </w:pPr>
            <w:r>
              <w:rPr>
                <w:rFonts w:ascii="Arial" w:cs="Arial" w:eastAsia="Arial" w:hAnsi="Arial"/>
                <w:sz w:val="18"/>
                <w:szCs w:val="18"/>
                <w:color w:val="auto"/>
              </w:rPr>
              <w:t>Nahestehenden Aktionär der</w:t>
            </w: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40" w:type="dxa"/>
            <w:vAlign w:val="bottom"/>
          </w:tcPr>
          <w:p>
            <w:pPr>
              <w:ind w:left="80"/>
              <w:spacing w:after="0"/>
              <w:rPr>
                <w:sz w:val="20"/>
                <w:szCs w:val="20"/>
                <w:color w:val="auto"/>
              </w:rPr>
            </w:pPr>
            <w:r>
              <w:rPr>
                <w:rFonts w:ascii="Arial" w:cs="Arial" w:eastAsia="Arial" w:hAnsi="Arial"/>
                <w:sz w:val="18"/>
                <w:szCs w:val="18"/>
                <w:color w:val="auto"/>
              </w:rPr>
              <w:t>Interested Shareholder of the</w:t>
            </w:r>
          </w:p>
        </w:tc>
      </w:tr>
      <w:tr>
        <w:trPr>
          <w:trHeight w:val="239"/>
        </w:trPr>
        <w:tc>
          <w:tcPr>
            <w:tcW w:w="1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160" w:type="dxa"/>
            <w:vAlign w:val="bottom"/>
          </w:tcPr>
          <w:p>
            <w:pPr>
              <w:ind w:left="60"/>
              <w:spacing w:after="0"/>
              <w:rPr>
                <w:sz w:val="20"/>
                <w:szCs w:val="20"/>
                <w:color w:val="auto"/>
              </w:rPr>
            </w:pPr>
            <w:r>
              <w:rPr>
                <w:rFonts w:ascii="Arial" w:cs="Arial" w:eastAsia="Arial" w:hAnsi="Arial"/>
                <w:sz w:val="18"/>
                <w:szCs w:val="18"/>
                <w:color w:val="auto"/>
              </w:rPr>
              <w:t>Gesellschaft verwendet:</w:t>
            </w:r>
          </w:p>
        </w:tc>
        <w:tc>
          <w:tcPr>
            <w:tcW w:w="1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40" w:type="dxa"/>
            <w:vAlign w:val="bottom"/>
          </w:tcPr>
          <w:p>
            <w:pPr>
              <w:ind w:left="80"/>
              <w:spacing w:after="0"/>
              <w:rPr>
                <w:sz w:val="20"/>
                <w:szCs w:val="20"/>
                <w:color w:val="auto"/>
              </w:rPr>
            </w:pPr>
            <w:r>
              <w:rPr>
                <w:rFonts w:ascii="Arial" w:cs="Arial" w:eastAsia="Arial" w:hAnsi="Arial"/>
                <w:sz w:val="18"/>
                <w:szCs w:val="18"/>
                <w:color w:val="auto"/>
              </w:rPr>
              <w:t>Company, means:</w:t>
            </w:r>
          </w:p>
        </w:tc>
      </w:tr>
    </w:tbl>
    <w:p>
      <w:pPr>
        <w:spacing w:after="0" w:line="200" w:lineRule="exact"/>
        <w:rPr>
          <w:sz w:val="20"/>
          <w:szCs w:val="20"/>
          <w:color w:val="auto"/>
        </w:rPr>
      </w:pPr>
    </w:p>
    <w:p>
      <w:pPr>
        <w:sectPr>
          <w:pgSz w:w="11900" w:h="16838" w:orient="portrait"/>
          <w:cols w:equalWidth="0" w:num="1">
            <w:col w:w="9340"/>
          </w:cols>
          <w:pgMar w:left="1220" w:top="670" w:right="1339" w:bottom="1440" w:gutter="0" w:footer="0" w:header="0"/>
        </w:sectPr>
      </w:pPr>
    </w:p>
    <w:p>
      <w:pPr>
        <w:spacing w:after="0" w:line="155" w:lineRule="exact"/>
        <w:rPr>
          <w:sz w:val="20"/>
          <w:szCs w:val="20"/>
          <w:color w:val="auto"/>
        </w:rPr>
      </w:pPr>
    </w:p>
    <w:p>
      <w:pPr>
        <w:ind w:left="2280" w:right="1025" w:hanging="466"/>
        <w:spacing w:after="0" w:line="251" w:lineRule="auto"/>
        <w:tabs>
          <w:tab w:leader="none" w:pos="2280" w:val="left"/>
        </w:tabs>
        <w:numPr>
          <w:ilvl w:val="0"/>
          <w:numId w:val="204"/>
        </w:numPr>
        <w:rPr>
          <w:rFonts w:ascii="Arial" w:cs="Arial" w:eastAsia="Arial" w:hAnsi="Arial"/>
          <w:sz w:val="17"/>
          <w:szCs w:val="17"/>
          <w:color w:val="auto"/>
        </w:rPr>
      </w:pPr>
      <w:r>
        <w:rPr>
          <w:rFonts w:ascii="Arial" w:cs="Arial" w:eastAsia="Arial" w:hAnsi="Arial"/>
          <w:sz w:val="17"/>
          <w:szCs w:val="17"/>
          <w:color w:val="auto"/>
        </w:rPr>
        <w:t>Jede Fusion oder andere Form des Zusammenschlusses der Gesellschaft oder einer direkten oder indirekten Tochtergesellschaft, die zur Mehrheit von der Gesellschaft gehalten wird, mit (1) dem Nahestehenden Aktionär oder</w:t>
      </w:r>
    </w:p>
    <w:p>
      <w:pPr>
        <w:spacing w:after="0" w:line="2" w:lineRule="exact"/>
        <w:rPr>
          <w:rFonts w:ascii="Arial" w:cs="Arial" w:eastAsia="Arial" w:hAnsi="Arial"/>
          <w:sz w:val="17"/>
          <w:szCs w:val="17"/>
          <w:color w:val="auto"/>
        </w:rPr>
      </w:pPr>
    </w:p>
    <w:p>
      <w:pPr>
        <w:ind w:left="2280" w:right="1145"/>
        <w:spacing w:after="0" w:line="234" w:lineRule="auto"/>
        <w:rPr>
          <w:rFonts w:ascii="Arial" w:cs="Arial" w:eastAsia="Arial" w:hAnsi="Arial"/>
          <w:sz w:val="17"/>
          <w:szCs w:val="17"/>
          <w:color w:val="auto"/>
        </w:rPr>
      </w:pPr>
      <w:r>
        <w:rPr>
          <w:rFonts w:ascii="Arial" w:cs="Arial" w:eastAsia="Arial" w:hAnsi="Arial"/>
          <w:sz w:val="18"/>
          <w:szCs w:val="18"/>
          <w:color w:val="auto"/>
        </w:rPr>
        <w:t>(2) einer anderen Kapitalgesellschaft, rechts-oder nicht-rechtsfähigen Personengesellschaft oder einem anderen Rechtsträger, soweit diese Fusion oder andere Form des Zusammenschlusses durch den Nahestehenden Aktionär verursacht worden ist und als Folge dieser Fusion oder anderen Form des Zusammenschlusses Artikel 19(i) und</w:t>
      </w:r>
    </w:p>
    <w:p>
      <w:pPr>
        <w:spacing w:after="0" w:line="9" w:lineRule="exact"/>
        <w:rPr>
          <w:rFonts w:ascii="Arial" w:cs="Arial" w:eastAsia="Arial" w:hAnsi="Arial"/>
          <w:sz w:val="17"/>
          <w:szCs w:val="17"/>
          <w:color w:val="auto"/>
        </w:rPr>
      </w:pPr>
    </w:p>
    <w:p>
      <w:pPr>
        <w:ind w:left="2280" w:right="1005"/>
        <w:spacing w:after="0" w:line="236" w:lineRule="auto"/>
        <w:rPr>
          <w:rFonts w:ascii="Arial" w:cs="Arial" w:eastAsia="Arial" w:hAnsi="Arial"/>
          <w:sz w:val="17"/>
          <w:szCs w:val="17"/>
          <w:color w:val="auto"/>
        </w:rPr>
      </w:pPr>
      <w:r>
        <w:rPr>
          <w:rFonts w:ascii="Arial" w:cs="Arial" w:eastAsia="Arial" w:hAnsi="Arial"/>
          <w:sz w:val="18"/>
          <w:szCs w:val="18"/>
          <w:color w:val="auto"/>
        </w:rPr>
        <w:t>Artikel 20 Abs. 3 dieser Statuten (sowie jede der dazu gehörigen Definition in Artikel 35 dieser Statuten) oder im Wesentlichen gleiche Bestimmungen wie Artikel 19(i), Artikel 20 Abs. 3 (und die dazugehörigen Definitionen in Artikel 35 dieser Statuten auf den überlebenden Rechtsträger) nicht anwendbar sind;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369570</wp:posOffset>
            </wp:positionV>
            <wp:extent cx="629221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ind w:left="495" w:right="40" w:hanging="495"/>
        <w:spacing w:after="0" w:line="236" w:lineRule="auto"/>
        <w:tabs>
          <w:tab w:leader="none" w:pos="495" w:val="left"/>
        </w:tabs>
        <w:numPr>
          <w:ilvl w:val="0"/>
          <w:numId w:val="205"/>
        </w:numPr>
        <w:rPr>
          <w:rFonts w:ascii="Arial" w:cs="Arial" w:eastAsia="Arial" w:hAnsi="Arial"/>
          <w:sz w:val="18"/>
          <w:szCs w:val="18"/>
          <w:color w:val="auto"/>
        </w:rPr>
      </w:pPr>
      <w:r>
        <w:rPr>
          <w:rFonts w:ascii="Arial" w:cs="Arial" w:eastAsia="Arial" w:hAnsi="Arial"/>
          <w:sz w:val="18"/>
          <w:szCs w:val="18"/>
          <w:color w:val="auto"/>
        </w:rPr>
        <w:t>Any merger or consolidation of the Company or any direct or indirect majority-Owned subsidiary of the Company with (1) the Interested Shareholder or (2) with any other corporation, partnership, unincorporated association or other entity if the merger or consolidation is caused by the Interested Shareholder and as a result of such merger or consolidation Article 19(i) and Article 20 para. 3 of these Articles of Association (including the relevant definitions in Article 35 of these Articles of Association pertaining thereto) or a provision substantially the same as such Article 19(i) and Article 20 para. 3 (including the relevant definitions in Article 35) are not applicable to the surviving entity;</w:t>
      </w:r>
    </w:p>
    <w:p>
      <w:pPr>
        <w:sectPr>
          <w:pgSz w:w="11900" w:h="16838" w:orient="portrait"/>
          <w:cols w:equalWidth="0" w:num="2">
            <w:col w:w="5765" w:space="720"/>
            <w:col w:w="2855"/>
          </w:cols>
          <w:pgMar w:left="1220" w:top="670" w:right="1339" w:bottom="1440" w:gutter="0" w:footer="0" w:header="0"/>
          <w:type w:val="continuous"/>
        </w:sectPr>
      </w:pPr>
    </w:p>
    <w:bookmarkStart w:id="54" w:name="page55"/>
    <w:bookmarkEnd w:id="54"/>
    <w:p>
      <w:pPr>
        <w:jc w:val="right"/>
        <w:ind w:right="286"/>
        <w:spacing w:after="0"/>
        <w:rPr>
          <w:sz w:val="20"/>
          <w:szCs w:val="20"/>
          <w:color w:val="auto"/>
        </w:rPr>
      </w:pPr>
      <w:r>
        <w:rPr>
          <w:rFonts w:ascii="Arial" w:cs="Arial" w:eastAsia="Arial" w:hAnsi="Arial"/>
          <w:sz w:val="14"/>
          <w:szCs w:val="14"/>
          <w:color w:val="auto"/>
        </w:rPr>
        <w:t>- 47 -</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560" w:right="626" w:hanging="466"/>
        <w:spacing w:after="0" w:line="236" w:lineRule="auto"/>
        <w:tabs>
          <w:tab w:leader="none" w:pos="156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jeder Verkauf, Vermietung oder Verpachtung, hypothekarische Belastung oder andere Verpfändung, Übertragung oder andere Verfügung (ob in einer oder mehreren Transaktionen), einschliesslich im Rahmen eines Tauschs, von Vermögenswerten der Gesellschaft oder einer direkten oder indirekten Tochtergesellschaft, die zur Mehrheit von der Gesellschaft gehalten wird, an einen Nahestehenden Aktionär (ausser soweit der Zuerwerb unter einer der genannten Transaktionen proportional als Aktionär erfolgt), soweit diese Vermögenswerte einen Marktwert von 10% oder mehr entweder des auf konsolidierter Basis aggregierten Marktwertes aller Vermögenswerte der Gesellschaft oder des aggregierten Marktwertes aller dann ausgegebenen Aktien haben, unabhängig davon, ob eine dieser Transaktionen Teil einer Auflösung der Gesellschaft ist oder nicht;</w:t>
      </w:r>
    </w:p>
    <w:p>
      <w:pPr>
        <w:spacing w:after="0" w:line="80" w:lineRule="exact"/>
        <w:rPr>
          <w:rFonts w:ascii="Arial" w:cs="Arial" w:eastAsia="Arial" w:hAnsi="Arial"/>
          <w:sz w:val="18"/>
          <w:szCs w:val="18"/>
          <w:color w:val="auto"/>
        </w:rPr>
      </w:pPr>
    </w:p>
    <w:p>
      <w:pPr>
        <w:ind w:left="1560" w:right="706" w:hanging="466"/>
        <w:spacing w:after="0" w:line="251" w:lineRule="auto"/>
        <w:tabs>
          <w:tab w:leader="none" w:pos="1560" w:val="left"/>
        </w:tabs>
        <w:numPr>
          <w:ilvl w:val="0"/>
          <w:numId w:val="206"/>
        </w:numPr>
        <w:rPr>
          <w:rFonts w:ascii="Arial" w:cs="Arial" w:eastAsia="Arial" w:hAnsi="Arial"/>
          <w:sz w:val="17"/>
          <w:szCs w:val="17"/>
          <w:color w:val="auto"/>
        </w:rPr>
      </w:pPr>
      <w:r>
        <w:rPr>
          <w:rFonts w:ascii="Arial" w:cs="Arial" w:eastAsia="Arial" w:hAnsi="Arial"/>
          <w:sz w:val="17"/>
          <w:szCs w:val="17"/>
          <w:color w:val="auto"/>
        </w:rPr>
        <w:t>jede Transaktion, die dazu führt, dass die Gesellschaft oder eine direkte oder indirekte Tochtergesellschaft, die zur Mehrheit von der Gesellschaft gehalten wird, Aktien oder Tochtergesellschafts-Aktien an den Nahestehenden Aktionär ausgibt oder überträgt, es sei denn</w:t>
      </w:r>
    </w:p>
    <w:p>
      <w:pPr>
        <w:ind w:left="1560" w:right="626"/>
        <w:spacing w:after="0" w:line="235" w:lineRule="auto"/>
        <w:rPr>
          <w:rFonts w:ascii="Arial" w:cs="Arial" w:eastAsia="Arial" w:hAnsi="Arial"/>
          <w:sz w:val="17"/>
          <w:szCs w:val="17"/>
          <w:color w:val="auto"/>
        </w:rPr>
      </w:pPr>
      <w:r>
        <w:rPr>
          <w:rFonts w:ascii="Arial" w:cs="Arial" w:eastAsia="Arial" w:hAnsi="Arial"/>
          <w:sz w:val="18"/>
          <w:szCs w:val="18"/>
          <w:color w:val="auto"/>
        </w:rPr>
        <w:t>(1) aufgrund der Ausübung, des Tauschs oder der Wandlung von Finanzmarktinstrumenten, die in Aktien oder Aktien einer direkten oder indirekten Tochtergesellschaft, die zur Mehrheit von der Gesellschaft gehalten wird, ausgeübt, getauscht oder gewandelt werden können, vorausgesetzt, die betreffenden Finanzmarktinstrumente waren zum Zeitpunkt, in dem der Nahestehende Aktionär zu einem solchem wurde, bereits ausgegeben; (2) als Dividende oder Ausschüttung an alle Aktionäre, oder aufgrund der Ausübung, des Tauschs oder der Wandlung von Finanzmarktinstrumenten, die in Aktien oder Aktien einer direkten oder indirekten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-225425</wp:posOffset>
            </wp:positionH>
            <wp:positionV relativeFrom="paragraph">
              <wp:posOffset>340995</wp:posOffset>
            </wp:positionV>
            <wp:extent cx="629221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534" w:hanging="534"/>
        <w:spacing w:after="0" w:line="237" w:lineRule="auto"/>
        <w:tabs>
          <w:tab w:leader="none" w:pos="503" w:val="left"/>
        </w:tabs>
        <w:numPr>
          <w:ilvl w:val="0"/>
          <w:numId w:val="207"/>
        </w:numPr>
        <w:rPr>
          <w:rFonts w:ascii="Arial" w:cs="Arial" w:eastAsia="Arial" w:hAnsi="Arial"/>
          <w:sz w:val="18"/>
          <w:szCs w:val="18"/>
          <w:color w:val="auto"/>
        </w:rPr>
      </w:pPr>
      <w:r>
        <w:rPr>
          <w:rFonts w:ascii="Arial" w:cs="Arial" w:eastAsia="Arial" w:hAnsi="Arial"/>
          <w:sz w:val="18"/>
          <w:szCs w:val="18"/>
          <w:color w:val="auto"/>
        </w:rPr>
        <w:t>any sale, lease, exchange, mortgage, pledge, transfer or other disposition (in one transaction or a series of transactions), except proportionately as a shareholder, to or with the Interested Shareholder, whether as part of a dissolution or otherwise, of assets of the Company or of any direct or indirect majority-Owned subsidiary of the Company which assets have an aggregate market value equal to 10% or more of either the aggregate market value of all the assets of the Company determined on a consolidated basis or the aggregate market value of all the Shares then in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34" w:hanging="534"/>
        <w:spacing w:after="0" w:line="250" w:lineRule="auto"/>
        <w:tabs>
          <w:tab w:leader="none" w:pos="503" w:val="left"/>
        </w:tabs>
        <w:numPr>
          <w:ilvl w:val="0"/>
          <w:numId w:val="208"/>
        </w:numPr>
        <w:rPr>
          <w:rFonts w:ascii="Arial" w:cs="Arial" w:eastAsia="Arial" w:hAnsi="Arial"/>
          <w:sz w:val="17"/>
          <w:szCs w:val="17"/>
          <w:color w:val="auto"/>
        </w:rPr>
      </w:pPr>
      <w:r>
        <w:rPr>
          <w:rFonts w:ascii="Arial" w:cs="Arial" w:eastAsia="Arial" w:hAnsi="Arial"/>
          <w:sz w:val="17"/>
          <w:szCs w:val="17"/>
          <w:color w:val="auto"/>
        </w:rPr>
        <w:t>any transaction which results in the issuance or transfer by the Company or by any direct or indirect majority-Owned subsidiary of the Company of any Shares or shares of such subsidiary to the Interested Shareholder, except (1) pursuant to the exercise, exchange or conversion of securities exercisable for, exchangeable for or convertible into Shares or the shares of a direct or indirect majority-Owned subsidiary of the Company which securities were in issue prior to the time that the Interested Shareholder became such; (2) pursuant to a dividend or distribution paid or made, or the exercise, exchange or conversion of securities exercisable for, exchangeable for or convertible into Shares or the shares of a direct or indirect majority-Owned subsidiary of the Company which security is distributed, pro rata, to all shareholders subsequent to the time the Interested Shareholder</w:t>
      </w:r>
    </w:p>
    <w:p>
      <w:pPr>
        <w:sectPr>
          <w:pgSz w:w="11900" w:h="16838" w:orient="portrait"/>
          <w:cols w:equalWidth="0" w:num="2">
            <w:col w:w="5046" w:space="720"/>
            <w:col w:w="3334"/>
          </w:cols>
          <w:pgMar w:left="1440" w:top="670" w:right="1359" w:bottom="1440" w:gutter="0" w:footer="0" w:header="0"/>
        </w:sectPr>
      </w:pPr>
    </w:p>
    <w:bookmarkStart w:id="55" w:name="page56"/>
    <w:bookmarkEnd w:id="55"/>
    <w:p>
      <w:pPr>
        <w:jc w:val="right"/>
        <w:ind w:right="286"/>
        <w:spacing w:after="0"/>
        <w:rPr>
          <w:sz w:val="20"/>
          <w:szCs w:val="20"/>
          <w:color w:val="auto"/>
        </w:rPr>
      </w:pPr>
      <w:r>
        <w:rPr>
          <w:rFonts w:ascii="Arial" w:cs="Arial" w:eastAsia="Arial" w:hAnsi="Arial"/>
          <w:sz w:val="14"/>
          <w:szCs w:val="14"/>
          <w:color w:val="auto"/>
        </w:rPr>
        <w:t>- 48 -</w:t>
      </w:r>
    </w:p>
    <w:p>
      <w:pPr>
        <w:spacing w:after="0" w:line="200" w:lineRule="exact"/>
        <w:rPr>
          <w:sz w:val="20"/>
          <w:szCs w:val="20"/>
          <w:color w:val="auto"/>
        </w:rPr>
      </w:pPr>
    </w:p>
    <w:p>
      <w:pPr>
        <w:spacing w:after="0" w:line="399"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Tochtergesellschaft, die zur</w:t>
      </w:r>
    </w:p>
    <w:p>
      <w:pPr>
        <w:spacing w:after="0" w:line="9"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Mehrheit von der Gesellschaft</w:t>
      </w:r>
    </w:p>
    <w:p>
      <w:pPr>
        <w:ind w:left="1560"/>
        <w:spacing w:after="0" w:line="234" w:lineRule="auto"/>
        <w:rPr>
          <w:sz w:val="20"/>
          <w:szCs w:val="20"/>
          <w:color w:val="auto"/>
        </w:rPr>
      </w:pPr>
      <w:r>
        <w:rPr>
          <w:rFonts w:ascii="Arial" w:cs="Arial" w:eastAsia="Arial" w:hAnsi="Arial"/>
          <w:sz w:val="18"/>
          <w:szCs w:val="18"/>
          <w:color w:val="auto"/>
        </w:rPr>
        <w:t>gehalten wird, ausgeübt, getauscht</w:t>
      </w:r>
    </w:p>
    <w:p>
      <w:pPr>
        <w:ind w:left="1560"/>
        <w:spacing w:after="0" w:line="235" w:lineRule="auto"/>
        <w:rPr>
          <w:sz w:val="20"/>
          <w:szCs w:val="20"/>
          <w:color w:val="auto"/>
        </w:rPr>
      </w:pPr>
      <w:r>
        <w:rPr>
          <w:rFonts w:ascii="Arial" w:cs="Arial" w:eastAsia="Arial" w:hAnsi="Arial"/>
          <w:sz w:val="18"/>
          <w:szCs w:val="18"/>
          <w:color w:val="auto"/>
        </w:rPr>
        <w:t>oder gewandelt werden können,</w:t>
      </w:r>
    </w:p>
    <w:p>
      <w:pPr>
        <w:ind w:left="1560"/>
        <w:spacing w:after="0" w:line="235" w:lineRule="auto"/>
        <w:rPr>
          <w:sz w:val="20"/>
          <w:szCs w:val="20"/>
          <w:color w:val="auto"/>
        </w:rPr>
      </w:pPr>
      <w:r>
        <w:rPr>
          <w:rFonts w:ascii="Arial" w:cs="Arial" w:eastAsia="Arial" w:hAnsi="Arial"/>
          <w:sz w:val="18"/>
          <w:szCs w:val="18"/>
          <w:color w:val="auto"/>
        </w:rPr>
        <w:t>vorausgesetzt, diese</w:t>
      </w:r>
    </w:p>
    <w:p>
      <w:pPr>
        <w:ind w:left="1560"/>
        <w:spacing w:after="0" w:line="235" w:lineRule="auto"/>
        <w:rPr>
          <w:sz w:val="20"/>
          <w:szCs w:val="20"/>
          <w:color w:val="auto"/>
        </w:rPr>
      </w:pPr>
      <w:r>
        <w:rPr>
          <w:rFonts w:ascii="Arial" w:cs="Arial" w:eastAsia="Arial" w:hAnsi="Arial"/>
          <w:sz w:val="18"/>
          <w:szCs w:val="18"/>
          <w:color w:val="auto"/>
        </w:rPr>
        <w:t>Finanzinstrumente werden allen</w:t>
      </w:r>
    </w:p>
    <w:p>
      <w:pPr>
        <w:ind w:left="1560"/>
        <w:spacing w:after="0" w:line="235" w:lineRule="auto"/>
        <w:rPr>
          <w:sz w:val="20"/>
          <w:szCs w:val="20"/>
          <w:color w:val="auto"/>
        </w:rPr>
      </w:pPr>
      <w:r>
        <w:rPr>
          <w:rFonts w:ascii="Arial" w:cs="Arial" w:eastAsia="Arial" w:hAnsi="Arial"/>
          <w:sz w:val="18"/>
          <w:szCs w:val="18"/>
          <w:color w:val="auto"/>
        </w:rPr>
        <w:t>Aktionäre anteilsmässig</w:t>
      </w:r>
    </w:p>
    <w:p>
      <w:pPr>
        <w:ind w:left="1560"/>
        <w:spacing w:after="0" w:line="234" w:lineRule="auto"/>
        <w:rPr>
          <w:sz w:val="20"/>
          <w:szCs w:val="20"/>
          <w:color w:val="auto"/>
        </w:rPr>
      </w:pPr>
      <w:r>
        <w:rPr>
          <w:rFonts w:ascii="Arial" w:cs="Arial" w:eastAsia="Arial" w:hAnsi="Arial"/>
          <w:sz w:val="18"/>
          <w:szCs w:val="18"/>
          <w:color w:val="auto"/>
        </w:rPr>
        <w:t>ausgegeben, nachdem der</w:t>
      </w:r>
    </w:p>
    <w:p>
      <w:pPr>
        <w:ind w:left="1560"/>
        <w:spacing w:after="0" w:line="235" w:lineRule="auto"/>
        <w:rPr>
          <w:sz w:val="20"/>
          <w:szCs w:val="20"/>
          <w:color w:val="auto"/>
        </w:rPr>
      </w:pPr>
      <w:r>
        <w:rPr>
          <w:rFonts w:ascii="Arial" w:cs="Arial" w:eastAsia="Arial" w:hAnsi="Arial"/>
          <w:sz w:val="18"/>
          <w:szCs w:val="18"/>
          <w:color w:val="auto"/>
        </w:rPr>
        <w:t>Nahestehende Aktionär zu einem</w:t>
      </w:r>
    </w:p>
    <w:p>
      <w:pPr>
        <w:ind w:left="1560"/>
        <w:spacing w:after="0" w:line="235" w:lineRule="auto"/>
        <w:rPr>
          <w:sz w:val="20"/>
          <w:szCs w:val="20"/>
          <w:color w:val="auto"/>
        </w:rPr>
      </w:pPr>
      <w:r>
        <w:rPr>
          <w:rFonts w:ascii="Arial" w:cs="Arial" w:eastAsia="Arial" w:hAnsi="Arial"/>
          <w:sz w:val="18"/>
          <w:szCs w:val="18"/>
          <w:color w:val="auto"/>
        </w:rPr>
        <w:t>solchem wurde; (3) gemäss einem</w:t>
      </w:r>
    </w:p>
    <w:p>
      <w:pPr>
        <w:ind w:left="1560"/>
        <w:spacing w:after="0" w:line="235" w:lineRule="auto"/>
        <w:rPr>
          <w:sz w:val="20"/>
          <w:szCs w:val="20"/>
          <w:color w:val="auto"/>
        </w:rPr>
      </w:pPr>
      <w:r>
        <w:rPr>
          <w:rFonts w:ascii="Arial" w:cs="Arial" w:eastAsia="Arial" w:hAnsi="Arial"/>
          <w:sz w:val="18"/>
          <w:szCs w:val="18"/>
          <w:color w:val="auto"/>
        </w:rPr>
        <w:t>Umtauschangebot der Gesellschaft,</w:t>
      </w:r>
    </w:p>
    <w:p>
      <w:pPr>
        <w:ind w:left="1560"/>
        <w:spacing w:after="0" w:line="235" w:lineRule="auto"/>
        <w:rPr>
          <w:sz w:val="20"/>
          <w:szCs w:val="20"/>
          <w:color w:val="auto"/>
        </w:rPr>
      </w:pPr>
      <w:r>
        <w:rPr>
          <w:rFonts w:ascii="Arial" w:cs="Arial" w:eastAsia="Arial" w:hAnsi="Arial"/>
          <w:sz w:val="18"/>
          <w:szCs w:val="18"/>
          <w:color w:val="auto"/>
        </w:rPr>
        <w:t>Aktien von allen Aktionären zu den</w:t>
      </w:r>
    </w:p>
    <w:p>
      <w:pPr>
        <w:ind w:left="1560"/>
        <w:spacing w:after="0" w:line="234" w:lineRule="auto"/>
        <w:rPr>
          <w:sz w:val="20"/>
          <w:szCs w:val="20"/>
          <w:color w:val="auto"/>
        </w:rPr>
      </w:pPr>
      <w:r>
        <w:rPr>
          <w:rFonts w:ascii="Arial" w:cs="Arial" w:eastAsia="Arial" w:hAnsi="Arial"/>
          <w:sz w:val="18"/>
          <w:szCs w:val="18"/>
          <w:color w:val="auto"/>
        </w:rPr>
        <w:t>gleichen Bedingungen zu</w:t>
      </w:r>
    </w:p>
    <w:p>
      <w:pPr>
        <w:ind w:left="1560"/>
        <w:spacing w:after="0" w:line="235" w:lineRule="auto"/>
        <w:rPr>
          <w:sz w:val="20"/>
          <w:szCs w:val="20"/>
          <w:color w:val="auto"/>
        </w:rPr>
      </w:pPr>
      <w:r>
        <w:rPr>
          <w:rFonts w:ascii="Arial" w:cs="Arial" w:eastAsia="Arial" w:hAnsi="Arial"/>
          <w:sz w:val="18"/>
          <w:szCs w:val="18"/>
          <w:color w:val="auto"/>
        </w:rPr>
        <w:t>erwerben; oder (4) aufgrund der</w:t>
      </w:r>
    </w:p>
    <w:p>
      <w:pPr>
        <w:ind w:left="1560"/>
        <w:spacing w:after="0" w:line="235" w:lineRule="auto"/>
        <w:rPr>
          <w:sz w:val="20"/>
          <w:szCs w:val="20"/>
          <w:color w:val="auto"/>
        </w:rPr>
      </w:pPr>
      <w:r>
        <w:rPr>
          <w:rFonts w:ascii="Arial" w:cs="Arial" w:eastAsia="Arial" w:hAnsi="Arial"/>
          <w:sz w:val="18"/>
          <w:szCs w:val="18"/>
          <w:color w:val="auto"/>
        </w:rPr>
        <w:t>Ausgabe oder der Übertragung von</w:t>
      </w:r>
    </w:p>
    <w:p>
      <w:pPr>
        <w:ind w:left="1560"/>
        <w:spacing w:after="0" w:line="235" w:lineRule="auto"/>
        <w:rPr>
          <w:sz w:val="20"/>
          <w:szCs w:val="20"/>
          <w:color w:val="auto"/>
        </w:rPr>
      </w:pPr>
      <w:r>
        <w:rPr>
          <w:rFonts w:ascii="Arial" w:cs="Arial" w:eastAsia="Arial" w:hAnsi="Arial"/>
          <w:sz w:val="18"/>
          <w:szCs w:val="18"/>
          <w:color w:val="auto"/>
        </w:rPr>
        <w:t>Aktien durch die Gesellschaft;</w:t>
      </w:r>
    </w:p>
    <w:p>
      <w:pPr>
        <w:ind w:left="1560"/>
        <w:spacing w:after="0" w:line="235" w:lineRule="auto"/>
        <w:rPr>
          <w:sz w:val="20"/>
          <w:szCs w:val="20"/>
          <w:color w:val="auto"/>
        </w:rPr>
      </w:pPr>
      <w:r>
        <w:rPr>
          <w:rFonts w:ascii="Arial" w:cs="Arial" w:eastAsia="Arial" w:hAnsi="Arial"/>
          <w:sz w:val="18"/>
          <w:szCs w:val="18"/>
          <w:color w:val="auto"/>
        </w:rPr>
        <w:t>vorausgesetzt, dass in keinem der</w:t>
      </w:r>
    </w:p>
    <w:p>
      <w:pPr>
        <w:ind w:left="1560"/>
        <w:spacing w:after="0" w:line="234" w:lineRule="auto"/>
        <w:rPr>
          <w:sz w:val="20"/>
          <w:szCs w:val="20"/>
          <w:color w:val="auto"/>
        </w:rPr>
      </w:pPr>
      <w:r>
        <w:rPr>
          <w:rFonts w:ascii="Arial" w:cs="Arial" w:eastAsia="Arial" w:hAnsi="Arial"/>
          <w:sz w:val="18"/>
          <w:szCs w:val="18"/>
          <w:color w:val="auto"/>
        </w:rPr>
        <w:t>unter (2) bis (4) genannten Fällen</w:t>
      </w:r>
    </w:p>
    <w:p>
      <w:pPr>
        <w:ind w:left="1560"/>
        <w:spacing w:after="0" w:line="235" w:lineRule="auto"/>
        <w:rPr>
          <w:sz w:val="20"/>
          <w:szCs w:val="20"/>
          <w:color w:val="auto"/>
        </w:rPr>
      </w:pPr>
      <w:r>
        <w:rPr>
          <w:rFonts w:ascii="Arial" w:cs="Arial" w:eastAsia="Arial" w:hAnsi="Arial"/>
          <w:sz w:val="18"/>
          <w:szCs w:val="18"/>
          <w:color w:val="auto"/>
        </w:rPr>
        <w:t>der proportionale Anteil des</w:t>
      </w:r>
    </w:p>
    <w:p>
      <w:pPr>
        <w:ind w:left="1560"/>
        <w:spacing w:after="0" w:line="235" w:lineRule="auto"/>
        <w:rPr>
          <w:sz w:val="20"/>
          <w:szCs w:val="20"/>
          <w:color w:val="auto"/>
        </w:rPr>
      </w:pPr>
      <w:r>
        <w:rPr>
          <w:rFonts w:ascii="Arial" w:cs="Arial" w:eastAsia="Arial" w:hAnsi="Arial"/>
          <w:sz w:val="18"/>
          <w:szCs w:val="18"/>
          <w:color w:val="auto"/>
        </w:rPr>
        <w:t>Nahestehenden Aktionärs an den</w:t>
      </w:r>
    </w:p>
    <w:p>
      <w:pPr>
        <w:ind w:left="1560"/>
        <w:spacing w:after="0"/>
        <w:rPr>
          <w:sz w:val="20"/>
          <w:szCs w:val="20"/>
          <w:color w:val="auto"/>
        </w:rPr>
      </w:pPr>
      <w:r>
        <w:rPr>
          <w:rFonts w:ascii="Arial" w:cs="Arial" w:eastAsia="Arial" w:hAnsi="Arial"/>
          <w:sz w:val="18"/>
          <w:szCs w:val="18"/>
          <w:color w:val="auto"/>
        </w:rPr>
        <w:t>Aktien erhöht werden darf;</w:t>
      </w:r>
    </w:p>
    <w:p>
      <w:pPr>
        <w:spacing w:after="0" w:line="86" w:lineRule="exact"/>
        <w:rPr>
          <w:sz w:val="20"/>
          <w:szCs w:val="20"/>
          <w:color w:val="auto"/>
        </w:rPr>
      </w:pPr>
    </w:p>
    <w:p>
      <w:pPr>
        <w:ind w:left="1560" w:right="686" w:hanging="466"/>
        <w:spacing w:after="0" w:line="237" w:lineRule="auto"/>
        <w:tabs>
          <w:tab w:leader="none" w:pos="156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jede Transaktion, in welche die Gesellschaft oder eine direkte oder indirekte Tochtergesellschaft, die zur Mehrheit von der Gesellschaft gehalten wird, involviert ist, und die direkt oder indirekt dazu führt, dass der proportionale Anteil der vom Nahestehenden Aktionär gehaltenen Aktien, in Aktien wandelbare Obligationen oder Tochtergesellschafts-Aktien erhöht wird, ausser eine solche Erhöhung ist nur unwesentlich und die Folge eines Spitzenausgleichs für Fraktionen oder eines Rückkaufs oder einer Rücknahme von Aktien, soweit diese(r) weder direkt noch indirekt durch den Nahestehenden Aktionär verursacht wurde; oder</w:t>
      </w:r>
    </w:p>
    <w:p>
      <w:pPr>
        <w:spacing w:after="0" w:line="71" w:lineRule="exact"/>
        <w:rPr>
          <w:rFonts w:ascii="Arial" w:cs="Arial" w:eastAsia="Arial" w:hAnsi="Arial"/>
          <w:sz w:val="18"/>
          <w:szCs w:val="18"/>
          <w:color w:val="auto"/>
        </w:rPr>
      </w:pPr>
    </w:p>
    <w:p>
      <w:pPr>
        <w:ind w:left="1640" w:right="686" w:hanging="470"/>
        <w:spacing w:after="0" w:line="251" w:lineRule="auto"/>
        <w:tabs>
          <w:tab w:leader="none" w:pos="1565" w:val="left"/>
        </w:tabs>
        <w:numPr>
          <w:ilvl w:val="1"/>
          <w:numId w:val="209"/>
        </w:numPr>
        <w:rPr>
          <w:rFonts w:ascii="Arial" w:cs="Arial" w:eastAsia="Arial" w:hAnsi="Arial"/>
          <w:sz w:val="17"/>
          <w:szCs w:val="17"/>
          <w:color w:val="auto"/>
        </w:rPr>
      </w:pPr>
      <w:r>
        <w:rPr>
          <w:rFonts w:ascii="Arial" w:cs="Arial" w:eastAsia="Arial" w:hAnsi="Arial"/>
          <w:sz w:val="17"/>
          <w:szCs w:val="17"/>
          <w:color w:val="auto"/>
        </w:rPr>
        <w:t>jede direkte oder indirekte Gewährung von Darlehen, Vorschüssen, Garantien, Bürgschaften, oder garantieähnlicher Verpflichtungen, Pfändern oder anderen finanziellen Begünstigungen (mit Ausnahme einer solchen, die gemäss den Unterabschnitten (a)</w:t>
      </w:r>
    </w:p>
    <w:p>
      <w:pPr>
        <w:ind w:left="1640" w:right="746"/>
        <w:spacing w:after="0" w:line="256" w:lineRule="auto"/>
        <w:rPr>
          <w:rFonts w:ascii="Arial" w:cs="Arial" w:eastAsia="Arial" w:hAnsi="Arial"/>
          <w:sz w:val="17"/>
          <w:szCs w:val="17"/>
          <w:color w:val="auto"/>
        </w:rPr>
      </w:pPr>
      <w:r>
        <w:rPr>
          <w:rFonts w:ascii="Arial" w:cs="Arial" w:eastAsia="Arial" w:hAnsi="Arial"/>
          <w:sz w:val="17"/>
          <w:szCs w:val="17"/>
          <w:color w:val="auto"/>
        </w:rPr>
        <w:t>– (d) dieses Artikels 35 Abs. 14 ausdrücklich erlaubt ist sowie einer solchen, die proportional an alle Aktionäre erfolgt) durch die oder über die Gesellschaft oder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-225425</wp:posOffset>
            </wp:positionH>
            <wp:positionV relativeFrom="paragraph">
              <wp:posOffset>324485</wp:posOffset>
            </wp:positionV>
            <wp:extent cx="629221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534" w:right="40"/>
        <w:spacing w:after="0" w:line="238" w:lineRule="auto"/>
        <w:rPr>
          <w:sz w:val="20"/>
          <w:szCs w:val="20"/>
          <w:color w:val="auto"/>
        </w:rPr>
      </w:pPr>
      <w:r>
        <w:rPr>
          <w:rFonts w:ascii="Arial" w:cs="Arial" w:eastAsia="Arial" w:hAnsi="Arial"/>
          <w:sz w:val="18"/>
          <w:szCs w:val="18"/>
          <w:color w:val="auto"/>
        </w:rPr>
        <w:t xml:space="preserve">became such; (3) pursuant to an exchange offer by the Company to purchase Shares made on the same terms to all holders of said Shares; or (4) any issuance or transfer of Shares by the Company; </w:t>
      </w:r>
      <w:r>
        <w:rPr>
          <w:rFonts w:ascii="Arial" w:cs="Arial" w:eastAsia="Arial" w:hAnsi="Arial"/>
          <w:sz w:val="18"/>
          <w:szCs w:val="18"/>
          <w:i w:val="1"/>
          <w:iCs w:val="1"/>
          <w:color w:val="auto"/>
        </w:rPr>
        <w:t>provided, however</w:t>
      </w:r>
      <w:r>
        <w:rPr>
          <w:rFonts w:ascii="Arial" w:cs="Arial" w:eastAsia="Arial" w:hAnsi="Arial"/>
          <w:sz w:val="18"/>
          <w:szCs w:val="18"/>
          <w:color w:val="auto"/>
        </w:rPr>
        <w:t>, that in no case under (2)–(4) above shall there be an increase in the Interested Shareholder's proportionate interest in the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34" w:hanging="534"/>
        <w:spacing w:after="0" w:line="237" w:lineRule="auto"/>
        <w:tabs>
          <w:tab w:leader="none" w:pos="503" w:val="left"/>
        </w:tabs>
        <w:numPr>
          <w:ilvl w:val="0"/>
          <w:numId w:val="210"/>
        </w:numPr>
        <w:rPr>
          <w:rFonts w:ascii="Arial" w:cs="Arial" w:eastAsia="Arial" w:hAnsi="Arial"/>
          <w:sz w:val="18"/>
          <w:szCs w:val="18"/>
          <w:color w:val="auto"/>
        </w:rPr>
      </w:pPr>
      <w:r>
        <w:rPr>
          <w:rFonts w:ascii="Arial" w:cs="Arial" w:eastAsia="Arial" w:hAnsi="Arial"/>
          <w:sz w:val="18"/>
          <w:szCs w:val="18"/>
          <w:color w:val="auto"/>
        </w:rPr>
        <w:t>any transaction involving the Company or any direct or indirect majority-Owned subsidiary of the Company which has the effect, directly or indirectly, of increasing the proportionate interest in the Shares, or securities convertible into the Shares, or in the shares of any such subsidiary which is Owned by the Interested Shareholder, except as a result of immaterial changes due to fractional share adjustments or as a result of any purchase or redemption of any Shares not caused, directly or indirectly, by the Interested Shareholder; or</w:t>
      </w:r>
    </w:p>
    <w:p>
      <w:pPr>
        <w:spacing w:after="0" w:line="200" w:lineRule="exact"/>
        <w:rPr>
          <w:rFonts w:ascii="Arial" w:cs="Arial" w:eastAsia="Arial" w:hAnsi="Arial"/>
          <w:sz w:val="18"/>
          <w:szCs w:val="18"/>
          <w:color w:val="auto"/>
        </w:rPr>
      </w:pPr>
    </w:p>
    <w:p>
      <w:pPr>
        <w:spacing w:after="0" w:line="280" w:lineRule="exact"/>
        <w:rPr>
          <w:rFonts w:ascii="Arial" w:cs="Arial" w:eastAsia="Arial" w:hAnsi="Arial"/>
          <w:sz w:val="18"/>
          <w:szCs w:val="18"/>
          <w:color w:val="auto"/>
        </w:rPr>
      </w:pPr>
    </w:p>
    <w:p>
      <w:pPr>
        <w:ind w:left="534" w:hanging="534"/>
        <w:spacing w:after="0" w:line="253" w:lineRule="auto"/>
        <w:tabs>
          <w:tab w:leader="none" w:pos="503" w:val="left"/>
        </w:tabs>
        <w:numPr>
          <w:ilvl w:val="0"/>
          <w:numId w:val="210"/>
        </w:numPr>
        <w:rPr>
          <w:rFonts w:ascii="Arial" w:cs="Arial" w:eastAsia="Arial" w:hAnsi="Arial"/>
          <w:sz w:val="17"/>
          <w:szCs w:val="17"/>
          <w:color w:val="auto"/>
        </w:rPr>
      </w:pPr>
      <w:r>
        <w:rPr>
          <w:rFonts w:ascii="Arial" w:cs="Arial" w:eastAsia="Arial" w:hAnsi="Arial"/>
          <w:sz w:val="17"/>
          <w:szCs w:val="17"/>
          <w:color w:val="auto"/>
        </w:rPr>
        <w:t>any receipt by the Interested Shareholder of the benefit, directly or indirectly (except proportionately as a shareholder), of any loans, advances, guarantees, pledges or other financial benefits (other than those expressly permitted in subsections (a)–(d) of this Article 35 para. 14) provided by or through the Company or any direct or indirect majority-Owned subsidiary of the Company.</w:t>
      </w:r>
    </w:p>
    <w:p>
      <w:pPr>
        <w:sectPr>
          <w:pgSz w:w="11900" w:h="16838" w:orient="portrait"/>
          <w:cols w:equalWidth="0" w:num="2">
            <w:col w:w="5046" w:space="720"/>
            <w:col w:w="3334"/>
          </w:cols>
          <w:pgMar w:left="1440" w:top="670" w:right="1359" w:bottom="1440" w:gutter="0" w:footer="0" w:header="0"/>
        </w:sectPr>
      </w:pPr>
    </w:p>
    <w:bookmarkStart w:id="56" w:name="page57"/>
    <w:bookmarkEnd w:id="56"/>
    <w:p>
      <w:pPr>
        <w:jc w:val="center"/>
        <w:ind w:right="-299"/>
        <w:spacing w:after="0"/>
        <w:rPr>
          <w:sz w:val="20"/>
          <w:szCs w:val="20"/>
          <w:color w:val="auto"/>
        </w:rPr>
      </w:pPr>
      <w:r>
        <w:rPr>
          <w:rFonts w:ascii="Arial" w:cs="Arial" w:eastAsia="Arial" w:hAnsi="Arial"/>
          <w:sz w:val="13"/>
          <w:szCs w:val="13"/>
          <w:color w:val="auto"/>
        </w:rPr>
        <w:t>- 49 -</w:t>
      </w:r>
    </w:p>
    <w:p>
      <w:pPr>
        <w:sectPr>
          <w:pgSz w:w="11900" w:h="16838" w:orient="portrait"/>
          <w:cols w:equalWidth="0" w:num="1">
            <w:col w:w="9340"/>
          </w:cols>
          <w:pgMar w:left="1220" w:top="670"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tabs>
          <w:tab w:leader="none" w:pos="940" w:val="left"/>
        </w:tabs>
        <w:rPr>
          <w:sz w:val="20"/>
          <w:szCs w:val="20"/>
          <w:color w:val="auto"/>
        </w:rPr>
      </w:pPr>
      <w:r>
        <w:rPr>
          <w:rFonts w:ascii="Arial" w:cs="Arial" w:eastAsia="Arial" w:hAnsi="Arial"/>
          <w:sz w:val="14"/>
          <w:szCs w:val="14"/>
          <w:color w:val="auto"/>
        </w:rPr>
        <w:t>Zusatzbetrag</w:t>
      </w:r>
      <w:r>
        <w:rPr>
          <w:sz w:val="20"/>
          <w:szCs w:val="20"/>
          <w:color w:val="auto"/>
        </w:rPr>
        <w:tab/>
      </w:r>
      <w:r>
        <w:rPr>
          <w:rFonts w:ascii="Arial" w:cs="Arial" w:eastAsia="Arial" w:hAnsi="Arial"/>
          <w:sz w:val="21"/>
          <w:szCs w:val="21"/>
          <w:color w:val="auto"/>
          <w:vertAlign w:val="subscript"/>
        </w:rPr>
        <w:t>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color w:val="auto"/>
        </w:rPr>
        <w:t>Sacheinlage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0" w:lineRule="exact"/>
        <w:rPr>
          <w:sz w:val="20"/>
          <w:szCs w:val="20"/>
          <w:color w:val="auto"/>
        </w:rPr>
      </w:pPr>
    </w:p>
    <w:p>
      <w:pPr>
        <w:ind w:left="640" w:right="240"/>
        <w:spacing w:after="0" w:line="244" w:lineRule="auto"/>
        <w:rPr>
          <w:sz w:val="20"/>
          <w:szCs w:val="20"/>
          <w:color w:val="auto"/>
        </w:rPr>
      </w:pPr>
      <w:r>
        <w:rPr>
          <w:rFonts w:ascii="Arial" w:cs="Arial" w:eastAsia="Arial" w:hAnsi="Arial"/>
          <w:sz w:val="18"/>
          <w:szCs w:val="18"/>
          <w:color w:val="auto"/>
        </w:rPr>
        <w:t>eine direkte oder indirekte Tochtergesellschaft, die zur Mehrheit von der Gesellschaft gehalten wird, an den Nahestehenden Aktionär.</w:t>
      </w:r>
    </w:p>
    <w:p>
      <w:pPr>
        <w:spacing w:after="0" w:line="68"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 xml:space="preserve">Der Begriff </w:t>
      </w:r>
      <w:r>
        <w:rPr>
          <w:rFonts w:ascii="Arial" w:cs="Arial" w:eastAsia="Arial" w:hAnsi="Arial"/>
          <w:sz w:val="18"/>
          <w:szCs w:val="18"/>
          <w:b w:val="1"/>
          <w:bCs w:val="1"/>
          <w:color w:val="auto"/>
        </w:rPr>
        <w:t>Zusatzbetrag</w:t>
      </w:r>
      <w:r>
        <w:rPr>
          <w:rFonts w:ascii="Arial" w:cs="Arial" w:eastAsia="Arial" w:hAnsi="Arial"/>
          <w:sz w:val="18"/>
          <w:szCs w:val="18"/>
          <w:color w:val="auto"/>
        </w:rPr>
        <w:t xml:space="preserve"> hat die in Artikel 29c dieser Statuten aufgeführte Bedeutung.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427990</wp:posOffset>
            </wp:positionV>
            <wp:extent cx="216852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Abschnitt 9:</w:t>
      </w:r>
    </w:p>
    <w:p>
      <w:pPr>
        <w:spacing w:after="0" w:line="14" w:lineRule="exact"/>
        <w:rPr>
          <w:sz w:val="20"/>
          <w:szCs w:val="20"/>
          <w:color w:val="auto"/>
        </w:rPr>
      </w:pPr>
    </w:p>
    <w:p>
      <w:pPr>
        <w:ind w:right="1220"/>
        <w:spacing w:after="0" w:line="411" w:lineRule="auto"/>
        <w:rPr>
          <w:sz w:val="20"/>
          <w:szCs w:val="20"/>
          <w:color w:val="auto"/>
        </w:rPr>
      </w:pPr>
      <w:r>
        <w:rPr>
          <w:rFonts w:ascii="Arial" w:cs="Arial" w:eastAsia="Arial" w:hAnsi="Arial"/>
          <w:sz w:val="17"/>
          <w:szCs w:val="17"/>
          <w:i w:val="1"/>
          <w:iCs w:val="1"/>
          <w:color w:val="auto"/>
        </w:rPr>
        <w:t xml:space="preserve">Übergangsbestimmungen </w:t>
      </w:r>
      <w:r>
        <w:rPr>
          <w:rFonts w:ascii="Arial" w:cs="Arial" w:eastAsia="Arial" w:hAnsi="Arial"/>
          <w:sz w:val="17"/>
          <w:szCs w:val="17"/>
          <w:b w:val="1"/>
          <w:bCs w:val="1"/>
          <w:color w:val="auto"/>
        </w:rPr>
        <w:t>Artikel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-260985</wp:posOffset>
            </wp:positionV>
            <wp:extent cx="216852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Die Gesellschaft übernimmt bei der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Kapitalerhöhung vom 19. Dezember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2008 von der Transocean Inc. in Grand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Cayman, Cayman Islands (</w:t>
      </w:r>
      <w:r>
        <w:rPr>
          <w:rFonts w:ascii="Arial" w:cs="Arial" w:eastAsia="Arial" w:hAnsi="Arial"/>
          <w:sz w:val="18"/>
          <w:szCs w:val="18"/>
          <w:b w:val="1"/>
          <w:bCs w:val="1"/>
          <w:color w:val="auto"/>
        </w:rPr>
        <w:t>Transocean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w:t>
      </w:r>
      <w:r>
        <w:rPr>
          <w:rFonts w:ascii="Arial" w:cs="Arial" w:eastAsia="Arial" w:hAnsi="Arial"/>
          <w:sz w:val="18"/>
          <w:szCs w:val="18"/>
          <w:color w:val="auto"/>
        </w:rPr>
        <w:t>), gemäss Sacheinlagevertrag per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18. Dezember 2008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Sacheinlagevertrag</w:t>
      </w:r>
      <w:r>
        <w:rPr>
          <w:rFonts w:ascii="Arial" w:cs="Arial" w:eastAsia="Arial" w:hAnsi="Arial"/>
          <w:sz w:val="18"/>
          <w:szCs w:val="18"/>
          <w:color w:val="auto"/>
        </w:rPr>
        <w:t>) 319’228’632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Aktien (</w:t>
      </w:r>
      <w:r>
        <w:rPr>
          <w:rFonts w:ascii="Arial" w:cs="Arial" w:eastAsia="Arial" w:hAnsi="Arial"/>
          <w:sz w:val="18"/>
          <w:szCs w:val="18"/>
          <w:i w:val="1"/>
          <w:iCs w:val="1"/>
          <w:color w:val="auto"/>
        </w:rPr>
        <w:t>ordinary shares</w:t>
      </w:r>
      <w:r>
        <w:rPr>
          <w:rFonts w:ascii="Arial" w:cs="Arial" w:eastAsia="Arial" w:hAnsi="Arial"/>
          <w:sz w:val="18"/>
          <w:szCs w:val="18"/>
          <w:color w:val="auto"/>
        </w:rPr>
        <w:t>) der Transocean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 Diese Aktien werden zu einem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Übernahmewert von insgesamt</w:t>
      </w:r>
    </w:p>
    <w:p>
      <w:pPr>
        <w:spacing w:after="0" w:line="9"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CHF 16'476'107'961.80 übernommen. Als Gegenleistung für diese Sacheinlage gibt die Gesellschaft einem Umtauschagenten, handelnd auf Rechnung der Aktionäre der Transocean Inc. im Zeitpunkt unmittelbar vor Vollzug des Sacheinlagevertrages und im Namen und auf Rechnung der Transocean Inc., insgesamt 335'228’632 voll einbezahlte Aktien mit einem Nennwert von insgesamt CHF 5'028'429’480 aus. Die Gesellschaft­ weist die Differenz­ zwischen dem totalen Nennwert der ausgegebenen­ Aktien und dem Übernahmewert der Sacheinlage im Gesamtbetrag von</w:t>
      </w:r>
    </w:p>
    <w:p>
      <w:pPr>
        <w:spacing w:after="0" w:line="6" w:lineRule="exact"/>
        <w:rPr>
          <w:sz w:val="20"/>
          <w:szCs w:val="20"/>
          <w:color w:val="auto"/>
        </w:rPr>
      </w:pPr>
    </w:p>
    <w:p>
      <w:pPr>
        <w:ind w:right="240"/>
        <w:spacing w:after="0" w:line="266" w:lineRule="auto"/>
        <w:rPr>
          <w:sz w:val="20"/>
          <w:szCs w:val="20"/>
          <w:color w:val="auto"/>
        </w:rPr>
      </w:pPr>
      <w:r>
        <w:rPr>
          <w:rFonts w:ascii="Arial" w:cs="Arial" w:eastAsia="Arial" w:hAnsi="Arial"/>
          <w:sz w:val="18"/>
          <w:szCs w:val="18"/>
          <w:color w:val="auto"/>
        </w:rPr>
        <w:t>CHF 11'447'678'481.80 den Reserven der Gesellschaft zu.</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line="296" w:lineRule="auto"/>
        <w:rPr>
          <w:sz w:val="20"/>
          <w:szCs w:val="20"/>
          <w:color w:val="auto"/>
        </w:rPr>
      </w:pPr>
      <w:r>
        <w:rPr>
          <w:rFonts w:ascii="Arial" w:cs="Arial" w:eastAsia="Arial" w:hAnsi="Arial"/>
          <w:sz w:val="14"/>
          <w:szCs w:val="14"/>
          <w:color w:val="auto"/>
        </w:rPr>
        <w:t xml:space="preserve">Supplementary </w:t>
      </w:r>
      <w:r>
        <w:rPr>
          <w:rFonts w:ascii="Arial" w:cs="Arial" w:eastAsia="Arial" w:hAnsi="Arial"/>
          <w:sz w:val="28"/>
          <w:szCs w:val="28"/>
          <w:color w:val="auto"/>
          <w:vertAlign w:val="subscript"/>
        </w:rPr>
        <w:t>15</w:t>
      </w:r>
      <w:r>
        <w:rPr>
          <w:rFonts w:ascii="Arial" w:cs="Arial" w:eastAsia="Arial" w:hAnsi="Arial"/>
          <w:sz w:val="14"/>
          <w:szCs w:val="14"/>
          <w:color w:val="auto"/>
        </w:rPr>
        <w:t xml:space="preserve">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right="340"/>
        <w:spacing w:after="0" w:line="285" w:lineRule="auto"/>
        <w:rPr>
          <w:sz w:val="20"/>
          <w:szCs w:val="20"/>
          <w:color w:val="auto"/>
        </w:rPr>
      </w:pPr>
      <w:r>
        <w:rPr>
          <w:rFonts w:ascii="Arial" w:cs="Arial" w:eastAsia="Arial" w:hAnsi="Arial"/>
          <w:sz w:val="14"/>
          <w:szCs w:val="14"/>
          <w:color w:val="auto"/>
        </w:rPr>
        <w:t>Contribution in Kind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right="80"/>
        <w:spacing w:after="0" w:line="253" w:lineRule="auto"/>
        <w:rPr>
          <w:sz w:val="20"/>
          <w:szCs w:val="20"/>
          <w:color w:val="auto"/>
        </w:rPr>
      </w:pPr>
      <w:r>
        <w:rPr>
          <w:rFonts w:ascii="Arial" w:cs="Arial" w:eastAsia="Arial" w:hAnsi="Arial"/>
          <w:sz w:val="18"/>
          <w:szCs w:val="18"/>
          <w:color w:val="auto"/>
        </w:rPr>
        <w:t xml:space="preserve">The term </w:t>
      </w:r>
      <w:r>
        <w:rPr>
          <w:rFonts w:ascii="Arial" w:cs="Arial" w:eastAsia="Arial" w:hAnsi="Arial"/>
          <w:sz w:val="18"/>
          <w:szCs w:val="18"/>
          <w:b w:val="1"/>
          <w:bCs w:val="1"/>
          <w:color w:val="auto"/>
        </w:rPr>
        <w:t>Supplementary Amount</w:t>
      </w:r>
      <w:r>
        <w:rPr>
          <w:rFonts w:ascii="Arial" w:cs="Arial" w:eastAsia="Arial" w:hAnsi="Arial"/>
          <w:sz w:val="18"/>
          <w:szCs w:val="18"/>
          <w:color w:val="auto"/>
        </w:rPr>
        <w:t xml:space="preserve"> has the meaning assigned to it in Article 29c of these Articles of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427990</wp:posOffset>
            </wp:positionV>
            <wp:extent cx="21513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w:t>
      </w:r>
    </w:p>
    <w:p>
      <w:pPr>
        <w:spacing w:after="0" w:line="14" w:lineRule="exact"/>
        <w:rPr>
          <w:sz w:val="20"/>
          <w:szCs w:val="20"/>
          <w:color w:val="auto"/>
        </w:rPr>
      </w:pPr>
    </w:p>
    <w:p>
      <w:pPr>
        <w:ind w:right="1460"/>
        <w:spacing w:after="0" w:line="388" w:lineRule="auto"/>
        <w:rPr>
          <w:sz w:val="20"/>
          <w:szCs w:val="20"/>
          <w:color w:val="auto"/>
        </w:rPr>
      </w:pPr>
      <w:r>
        <w:rPr>
          <w:rFonts w:ascii="Arial" w:cs="Arial" w:eastAsia="Arial" w:hAnsi="Arial"/>
          <w:sz w:val="18"/>
          <w:szCs w:val="18"/>
          <w:i w:val="1"/>
          <w:iCs w:val="1"/>
          <w:color w:val="auto"/>
        </w:rPr>
        <w:t xml:space="preserve">Transitional Provisions </w:t>
      </w:r>
      <w:r>
        <w:rPr>
          <w:rFonts w:ascii="Arial" w:cs="Arial" w:eastAsia="Arial" w:hAnsi="Arial"/>
          <w:sz w:val="18"/>
          <w:szCs w:val="18"/>
          <w:b w:val="1"/>
          <w:bCs w:val="1"/>
          <w:color w:val="auto"/>
        </w:rPr>
        <w:t>Article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-260985</wp:posOffset>
            </wp:positionV>
            <wp:extent cx="21513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spacing w:after="0" w:line="251" w:lineRule="auto"/>
        <w:rPr>
          <w:sz w:val="20"/>
          <w:szCs w:val="20"/>
          <w:color w:val="auto"/>
        </w:rPr>
      </w:pPr>
      <w:r>
        <w:rPr>
          <w:rFonts w:ascii="Arial" w:cs="Arial" w:eastAsia="Arial" w:hAnsi="Arial"/>
          <w:sz w:val="18"/>
          <w:szCs w:val="18"/>
          <w:color w:val="auto"/>
        </w:rPr>
        <w:t xml:space="preserve">In connection with the capital increase of December 19, 2008, and in accordance with the contribution in kind agreement as of December 18, 2008 (the </w:t>
      </w:r>
      <w:r>
        <w:rPr>
          <w:rFonts w:ascii="Arial" w:cs="Arial" w:eastAsia="Arial" w:hAnsi="Arial"/>
          <w:sz w:val="18"/>
          <w:szCs w:val="18"/>
          <w:b w:val="1"/>
          <w:bCs w:val="1"/>
          <w:color w:val="auto"/>
        </w:rPr>
        <w:t>Contribution in Kind Agreement</w:t>
      </w:r>
      <w:r>
        <w:rPr>
          <w:rFonts w:ascii="Arial" w:cs="Arial" w:eastAsia="Arial" w:hAnsi="Arial"/>
          <w:sz w:val="18"/>
          <w:szCs w:val="18"/>
          <w:color w:val="auto"/>
        </w:rPr>
        <w:t>),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acquires 319,228,632 ordinary shares of Transocean Inc., Grand Cayman, Cayman Islands (</w:t>
      </w:r>
      <w:r>
        <w:rPr>
          <w:rFonts w:ascii="Arial" w:cs="Arial" w:eastAsia="Arial" w:hAnsi="Arial"/>
          <w:sz w:val="18"/>
          <w:szCs w:val="18"/>
          <w:b w:val="1"/>
          <w:bCs w:val="1"/>
          <w:color w:val="auto"/>
        </w:rPr>
        <w:t>Transocean</w:t>
      </w:r>
      <w:r>
        <w:rPr>
          <w:rFonts w:ascii="Arial" w:cs="Arial" w:eastAsia="Arial" w:hAnsi="Arial"/>
          <w:sz w:val="18"/>
          <w:szCs w:val="18"/>
          <w:color w:val="auto"/>
        </w:rPr>
        <w:t xml:space="preserve"> </w:t>
      </w:r>
      <w:r>
        <w:rPr>
          <w:rFonts w:ascii="Arial" w:cs="Arial" w:eastAsia="Arial" w:hAnsi="Arial"/>
          <w:sz w:val="18"/>
          <w:szCs w:val="18"/>
          <w:b w:val="1"/>
          <w:bCs w:val="1"/>
          <w:color w:val="auto"/>
        </w:rPr>
        <w:t>Inc.</w:t>
      </w:r>
      <w:r>
        <w:rPr>
          <w:rFonts w:ascii="Arial" w:cs="Arial" w:eastAsia="Arial" w:hAnsi="Arial"/>
          <w:sz w:val="18"/>
          <w:szCs w:val="18"/>
          <w:color w:val="auto"/>
        </w:rPr>
        <w:t>). The shares of Transocean Inc.</w:t>
      </w:r>
      <w:r>
        <w:rPr>
          <w:rFonts w:ascii="Arial" w:cs="Arial" w:eastAsia="Arial" w:hAnsi="Arial"/>
          <w:sz w:val="18"/>
          <w:szCs w:val="18"/>
          <w:b w:val="1"/>
          <w:bCs w:val="1"/>
          <w:color w:val="auto"/>
        </w:rPr>
        <w:t xml:space="preserve"> </w:t>
      </w:r>
      <w:r>
        <w:rPr>
          <w:rFonts w:ascii="Arial" w:cs="Arial" w:eastAsia="Arial" w:hAnsi="Arial"/>
          <w:sz w:val="18"/>
          <w:szCs w:val="18"/>
          <w:color w:val="auto"/>
        </w:rPr>
        <w:t>are acquired for a total value of CHF 16,476,107,961.80. As consideration for this contribution, the Company issues to an exchange agent, acting for the account of the holders of ordinary shares of Transocean Inc. outstanding immediately prior to the completion of the Contribution in Kind Agreement and in the name and the account of Transocean Inc, a total of 335,228,632 fully paid Shares with a total par value of CHF 5,028,429,480. The difference between the aggregate par value of the issued Shares and the total value of CHF 11,447,678,481.80 is allocated to the reserves of the Company.</w:t>
      </w:r>
    </w:p>
    <w:p>
      <w:pPr>
        <w:spacing w:after="0" w:line="881" w:lineRule="exact"/>
        <w:rPr>
          <w:sz w:val="20"/>
          <w:szCs w:val="20"/>
          <w:color w:val="auto"/>
        </w:rPr>
      </w:pPr>
    </w:p>
    <w:p>
      <w:pPr>
        <w:sectPr>
          <w:pgSz w:w="11900" w:h="16838" w:orient="portrait"/>
          <w:cols w:equalWidth="0" w:num="4">
            <w:col w:w="1120" w:space="140"/>
            <w:col w:w="3280" w:space="140"/>
            <w:col w:w="1260" w:space="140"/>
            <w:col w:w="3260"/>
          </w:cols>
          <w:pgMar w:left="1220" w:top="670" w:right="1339" w:bottom="1440" w:gutter="0" w:footer="0" w:header="0"/>
          <w:type w:val="continuous"/>
        </w:sectPr>
      </w:pPr>
    </w:p>
    <w:p>
      <w:pPr>
        <w:spacing w:after="0" w:line="133" w:lineRule="exact"/>
        <w:rPr>
          <w:sz w:val="20"/>
          <w:szCs w:val="20"/>
          <w:color w:val="auto"/>
        </w:rPr>
      </w:pPr>
    </w:p>
    <w:p>
      <w:pPr>
        <w:ind w:left="1260"/>
        <w:spacing w:after="0"/>
        <w:tabs>
          <w:tab w:leader="none" w:pos="6060" w:val="left"/>
        </w:tabs>
        <w:rPr>
          <w:sz w:val="20"/>
          <w:szCs w:val="20"/>
          <w:color w:val="auto"/>
        </w:rPr>
      </w:pPr>
      <w:r>
        <w:rPr>
          <w:rFonts w:ascii="Arial" w:cs="Arial" w:eastAsia="Arial" w:hAnsi="Arial"/>
          <w:sz w:val="18"/>
          <w:szCs w:val="18"/>
          <w:b w:val="1"/>
          <w:bCs w:val="1"/>
          <w:color w:val="auto"/>
        </w:rPr>
        <w:t>Artikel 36</w:t>
      </w:r>
      <w:r>
        <w:rPr>
          <w:rFonts w:ascii="Arial" w:cs="Arial" w:eastAsia="Arial" w:hAnsi="Arial"/>
          <w:sz w:val="26"/>
          <w:szCs w:val="26"/>
          <w:b w:val="1"/>
          <w:bCs w:val="1"/>
          <w:color w:val="auto"/>
          <w:vertAlign w:val="superscript"/>
        </w:rPr>
        <w:t>bis</w:t>
      </w:r>
      <w:r>
        <w:rPr>
          <w:sz w:val="20"/>
          <w:szCs w:val="20"/>
          <w:color w:val="auto"/>
        </w:rPr>
        <w:tab/>
      </w:r>
      <w:r>
        <w:rPr>
          <w:rFonts w:ascii="Arial" w:cs="Arial" w:eastAsia="Arial" w:hAnsi="Arial"/>
          <w:sz w:val="17"/>
          <w:szCs w:val="17"/>
          <w:b w:val="1"/>
          <w:bCs w:val="1"/>
          <w:color w:val="auto"/>
        </w:rPr>
        <w:t>Article 36</w:t>
      </w:r>
      <w:r>
        <w:rPr>
          <w:rFonts w:ascii="Arial" w:cs="Arial" w:eastAsia="Arial" w:hAnsi="Arial"/>
          <w:sz w:val="24"/>
          <w:szCs w:val="24"/>
          <w:b w:val="1"/>
          <w:bCs w:val="1"/>
          <w:color w:val="auto"/>
          <w:vertAlign w:val="superscript"/>
        </w:rPr>
        <w:t>bis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542290</wp:posOffset>
            </wp:positionV>
            <wp:extent cx="629221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340"/>
          </w:cols>
          <w:pgMar w:left="1220" w:top="670" w:right="1339" w:bottom="1440" w:gutter="0" w:footer="0" w:header="0"/>
          <w:type w:val="continuous"/>
        </w:sectPr>
      </w:pPr>
    </w:p>
    <w:bookmarkStart w:id="57" w:name="page58"/>
    <w:bookmarkEnd w:id="57"/>
    <w:p>
      <w:pPr>
        <w:jc w:val="center"/>
        <w:ind w:right="-339"/>
        <w:spacing w:after="0"/>
        <w:rPr>
          <w:sz w:val="20"/>
          <w:szCs w:val="20"/>
          <w:color w:val="auto"/>
        </w:rPr>
      </w:pPr>
      <w:r>
        <w:rPr>
          <w:rFonts w:ascii="Arial" w:cs="Arial" w:eastAsia="Arial" w:hAnsi="Arial"/>
          <w:sz w:val="13"/>
          <w:szCs w:val="13"/>
          <w:color w:val="auto"/>
        </w:rPr>
        <w:t>- 50 -</w:t>
      </w:r>
    </w:p>
    <w:p>
      <w:pPr>
        <w:sectPr>
          <w:pgSz w:w="11900" w:h="16838" w:orient="portrait"/>
          <w:cols w:equalWidth="0" w:num="1">
            <w:col w:w="9300"/>
          </w:cols>
          <w:pgMar w:left="1220" w:top="670" w:right="1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color w:val="auto"/>
        </w:rPr>
        <w:t>Gemischte</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Sacheinlage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und</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Sachübername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 w:right="640"/>
        <w:spacing w:after="0" w:line="259" w:lineRule="auto"/>
        <w:rPr>
          <w:sz w:val="20"/>
          <w:szCs w:val="20"/>
          <w:color w:val="auto"/>
        </w:rPr>
      </w:pPr>
      <w:r>
        <w:rPr>
          <w:rFonts w:ascii="Arial" w:cs="Arial" w:eastAsia="Arial" w:hAnsi="Arial"/>
          <w:sz w:val="17"/>
          <w:szCs w:val="17"/>
          <w:color w:val="auto"/>
        </w:rPr>
        <w:t>Die Gesellschaft übernimmt in der ordentlichen Kapitalerhöhung vom</w:t>
      </w:r>
    </w:p>
    <w:p>
      <w:pPr>
        <w:spacing w:after="0" w:line="1" w:lineRule="exact"/>
        <w:rPr>
          <w:sz w:val="20"/>
          <w:szCs w:val="20"/>
          <w:color w:val="auto"/>
        </w:rPr>
      </w:pPr>
    </w:p>
    <w:p>
      <w:pPr>
        <w:ind w:left="6" w:hanging="6"/>
        <w:spacing w:after="0" w:line="234" w:lineRule="auto"/>
        <w:tabs>
          <w:tab w:leader="none" w:pos="306" w:val="left"/>
        </w:tabs>
        <w:numPr>
          <w:ilvl w:val="0"/>
          <w:numId w:val="211"/>
        </w:numPr>
        <w:rPr>
          <w:rFonts w:ascii="Arial" w:cs="Arial" w:eastAsia="Arial" w:hAnsi="Arial"/>
          <w:sz w:val="18"/>
          <w:szCs w:val="18"/>
          <w:color w:val="auto"/>
        </w:rPr>
      </w:pPr>
      <w:r>
        <w:rPr>
          <w:rFonts w:ascii="Arial" w:cs="Arial" w:eastAsia="Arial" w:hAnsi="Arial"/>
          <w:sz w:val="18"/>
          <w:szCs w:val="18"/>
          <w:color w:val="auto"/>
        </w:rPr>
        <w:t xml:space="preserve">Januar 2018 gemäss dem Einlagevertrag vom 30. Januar 2018 (der </w:t>
      </w:r>
      <w:r>
        <w:rPr>
          <w:rFonts w:ascii="Arial" w:cs="Arial" w:eastAsia="Arial" w:hAnsi="Arial"/>
          <w:sz w:val="18"/>
          <w:szCs w:val="18"/>
          <w:b w:val="1"/>
          <w:bCs w:val="1"/>
          <w:color w:val="auto"/>
        </w:rPr>
        <w:t>Einlagevertrag</w:t>
      </w:r>
      <w:r>
        <w:rPr>
          <w:rFonts w:ascii="Arial" w:cs="Arial" w:eastAsia="Arial" w:hAnsi="Arial"/>
          <w:sz w:val="18"/>
          <w:szCs w:val="18"/>
          <w:color w:val="auto"/>
        </w:rPr>
        <w:t>) von der Clarksons Platou</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Securities AS (die </w:t>
      </w:r>
      <w:r>
        <w:rPr>
          <w:rFonts w:ascii="Arial" w:cs="Arial" w:eastAsia="Arial" w:hAnsi="Arial"/>
          <w:sz w:val="18"/>
          <w:szCs w:val="18"/>
          <w:b w:val="1"/>
          <w:bCs w:val="1"/>
          <w:color w:val="auto"/>
        </w:rPr>
        <w:t>Einlegerin</w:t>
      </w:r>
      <w:r>
        <w:rPr>
          <w:rFonts w:ascii="Arial" w:cs="Arial" w:eastAsia="Arial" w:hAnsi="Arial"/>
          <w:sz w:val="18"/>
          <w:szCs w:val="18"/>
          <w:color w:val="auto"/>
        </w:rPr>
        <w:t xml:space="preserve">), handelnd im eigenen Namen aber auf Rechnung der Inhaber der Aktien mit einem Nennwert von je EUR 0.10 der Songa Offshore SE, in Limassol (CY) (die </w:t>
      </w:r>
      <w:r>
        <w:rPr>
          <w:rFonts w:ascii="Arial" w:cs="Arial" w:eastAsia="Arial" w:hAnsi="Arial"/>
          <w:sz w:val="18"/>
          <w:szCs w:val="18"/>
          <w:b w:val="1"/>
          <w:bCs w:val="1"/>
          <w:color w:val="auto"/>
        </w:rPr>
        <w:t>Zielgesellschafts-Aktien</w:t>
      </w:r>
      <w:r>
        <w:rPr>
          <w:rFonts w:ascii="Arial" w:cs="Arial" w:eastAsia="Arial" w:hAnsi="Arial"/>
          <w:sz w:val="18"/>
          <w:szCs w:val="18"/>
          <w:color w:val="auto"/>
        </w:rPr>
        <w:t>), die ihre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Zielgesellschafts-Aktien im Rahmen des öffentlichen Angebots der Gesellschaft vom 21. Dezember 2017 für sämtliche ausgegebenen und ausstehenden Zielgesellschafts-Aktien angedient und die Einlegerin als Umtauschagenten bezeichnet haben (die </w:t>
      </w:r>
      <w:r>
        <w:rPr>
          <w:rFonts w:ascii="Arial" w:cs="Arial" w:eastAsia="Arial" w:hAnsi="Arial"/>
          <w:sz w:val="18"/>
          <w:szCs w:val="18"/>
          <w:b w:val="1"/>
          <w:bCs w:val="1"/>
          <w:color w:val="auto"/>
        </w:rPr>
        <w:t>Andienenden</w:t>
      </w:r>
      <w:r>
        <w:rPr>
          <w:rFonts w:ascii="Arial" w:cs="Arial" w:eastAsia="Arial" w:hAnsi="Arial"/>
          <w:sz w:val="18"/>
          <w:szCs w:val="18"/>
          <w:color w:val="auto"/>
        </w:rPr>
        <w:t xml:space="preserve"> </w:t>
      </w:r>
      <w:r>
        <w:rPr>
          <w:rFonts w:ascii="Arial" w:cs="Arial" w:eastAsia="Arial" w:hAnsi="Arial"/>
          <w:sz w:val="18"/>
          <w:szCs w:val="18"/>
          <w:b w:val="1"/>
          <w:bCs w:val="1"/>
          <w:color w:val="auto"/>
        </w:rPr>
        <w:t>Aktionäre</w:t>
      </w:r>
      <w:r>
        <w:rPr>
          <w:rFonts w:ascii="Arial" w:cs="Arial" w:eastAsia="Arial" w:hAnsi="Arial"/>
          <w:sz w:val="18"/>
          <w:szCs w:val="18"/>
          <w:color w:val="auto"/>
        </w:rPr>
        <w:t>), insgesamt 187'390'391</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Zielgesellschafts-Aktien. Die Zielgesellschafts-Aktien werden zu einem Übernahmewert von insgesamt USD 1'122'468'442.09 übernommen. Im Einklang mit dem Einlagevertrag (i) weist die Gesellschaft der Einlegerin, handelnd im eigenen Namen aber auf Rechnung der Andienenden Aktionäre, insgesamt 66'929'504 Namenaktien mit einem Nennwert von je CHF 0.10 und gesamthaft CHF 6'692'950.40 zu, (ii) leistet eine Barzahlung von insgesamt NOK 2'645'280 an die Andienenden Aktionäre (die </w:t>
      </w:r>
      <w:r>
        <w:rPr>
          <w:rFonts w:ascii="Arial" w:cs="Arial" w:eastAsia="Arial" w:hAnsi="Arial"/>
          <w:sz w:val="18"/>
          <w:szCs w:val="18"/>
          <w:b w:val="1"/>
          <w:bCs w:val="1"/>
          <w:color w:val="auto"/>
        </w:rPr>
        <w:t>Barzahlung</w:t>
      </w:r>
      <w:r>
        <w:rPr>
          <w:rFonts w:ascii="Arial" w:cs="Arial" w:eastAsia="Arial" w:hAnsi="Arial"/>
          <w:sz w:val="18"/>
          <w:szCs w:val="18"/>
          <w:color w:val="auto"/>
        </w:rPr>
        <w:t>) und (iii) gibt ein Wandeldarlehen an Transocean, Inc., Grand Cayman (CI) (</w:t>
      </w:r>
      <w:r>
        <w:rPr>
          <w:rFonts w:ascii="Arial" w:cs="Arial" w:eastAsia="Arial" w:hAnsi="Arial"/>
          <w:sz w:val="18"/>
          <w:szCs w:val="18"/>
          <w:b w:val="1"/>
          <w:bCs w:val="1"/>
          <w:color w:val="auto"/>
        </w:rPr>
        <w:t>TINC</w:t>
      </w:r>
      <w:r>
        <w:rPr>
          <w:rFonts w:ascii="Arial" w:cs="Arial" w:eastAsia="Arial" w:hAnsi="Arial"/>
          <w:sz w:val="18"/>
          <w:szCs w:val="18"/>
          <w:color w:val="auto"/>
        </w:rPr>
        <w:t>), im Nominalwert von insgesamt</w:t>
      </w:r>
    </w:p>
    <w:p>
      <w:pPr>
        <w:spacing w:after="0" w:line="23" w:lineRule="exact"/>
        <w:rPr>
          <w:rFonts w:ascii="Arial" w:cs="Arial" w:eastAsia="Arial" w:hAnsi="Arial"/>
          <w:sz w:val="18"/>
          <w:szCs w:val="18"/>
          <w:color w:val="auto"/>
        </w:rPr>
      </w:pPr>
    </w:p>
    <w:p>
      <w:pPr>
        <w:ind w:left="6" w:right="80"/>
        <w:spacing w:after="0" w:line="250" w:lineRule="auto"/>
        <w:rPr>
          <w:rFonts w:ascii="Arial" w:cs="Arial" w:eastAsia="Arial" w:hAnsi="Arial"/>
          <w:sz w:val="18"/>
          <w:szCs w:val="18"/>
          <w:color w:val="auto"/>
        </w:rPr>
      </w:pPr>
      <w:r>
        <w:rPr>
          <w:rFonts w:ascii="Arial" w:cs="Arial" w:eastAsia="Arial" w:hAnsi="Arial"/>
          <w:sz w:val="17"/>
          <w:szCs w:val="17"/>
          <w:color w:val="auto"/>
        </w:rPr>
        <w:t xml:space="preserve">USD 561'440'000 aus, zwecks Finanzierung der von TINC an die Andienenden Aktionäre ausgegebenen Wandelanleihen im Nominalwert von insgesamt USD 561'440'000 (das </w:t>
      </w:r>
      <w:r>
        <w:rPr>
          <w:rFonts w:ascii="Arial" w:cs="Arial" w:eastAsia="Arial" w:hAnsi="Arial"/>
          <w:sz w:val="17"/>
          <w:szCs w:val="17"/>
          <w:b w:val="1"/>
          <w:bCs w:val="1"/>
          <w:color w:val="auto"/>
        </w:rPr>
        <w:t xml:space="preserve">Wandeldarlehen </w:t>
      </w:r>
      <w:r>
        <w:rPr>
          <w:rFonts w:ascii="Arial" w:cs="Arial" w:eastAsia="Arial" w:hAnsi="Arial"/>
          <w:sz w:val="17"/>
          <w:szCs w:val="17"/>
          <w:color w:val="auto"/>
        </w:rPr>
        <w:t>bzw. die</w:t>
      </w:r>
      <w:r>
        <w:rPr>
          <w:rFonts w:ascii="Arial" w:cs="Arial" w:eastAsia="Arial" w:hAnsi="Arial"/>
          <w:sz w:val="17"/>
          <w:szCs w:val="17"/>
          <w:b w:val="1"/>
          <w:bCs w:val="1"/>
          <w:color w:val="auto"/>
        </w:rPr>
        <w:t xml:space="preserve"> Wandelanleihen</w:t>
      </w:r>
      <w:r>
        <w:rPr>
          <w:rFonts w:ascii="Arial" w:cs="Arial" w:eastAsia="Arial" w:hAnsi="Arial"/>
          <w:sz w:val="17"/>
          <w:szCs w:val="17"/>
          <w:color w:val="auto"/>
        </w:rPr>
        <w:t>). Die Gesellschaft weist</w:t>
      </w:r>
      <w:r>
        <w:rPr>
          <w:rFonts w:ascii="Arial" w:cs="Arial" w:eastAsia="Arial" w:hAnsi="Arial"/>
          <w:sz w:val="17"/>
          <w:szCs w:val="17"/>
          <w:b w:val="1"/>
          <w:bCs w:val="1"/>
          <w:color w:val="auto"/>
        </w:rPr>
        <w:t xml:space="preserve"> </w:t>
      </w:r>
      <w:r>
        <w:rPr>
          <w:rFonts w:ascii="Arial" w:cs="Arial" w:eastAsia="Arial" w:hAnsi="Arial"/>
          <w:sz w:val="17"/>
          <w:szCs w:val="17"/>
          <w:color w:val="auto"/>
        </w:rPr>
        <w:t>die Differenz zwischen (i) dem Übernahmewert der Einlage und (ii)(x) dem Gesamtnennwert der neu ausgegebenen Namenaktien mit einem Nennwert von je CHF 0.10, (y) der Barzahlung und (z) dem Wandeldarlehen den Kapitaleinlagereserven der Gesellschaft zu.</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4"/>
          <w:szCs w:val="14"/>
          <w:color w:val="auto"/>
        </w:rPr>
        <w:t>Mixed</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Contribution</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in Kind and</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Acquisition</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of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-3146425</wp:posOffset>
            </wp:positionH>
            <wp:positionV relativeFrom="paragraph">
              <wp:posOffset>6418580</wp:posOffset>
            </wp:positionV>
            <wp:extent cx="629221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
        <w:spacing w:after="0" w:line="249" w:lineRule="auto"/>
        <w:rPr>
          <w:sz w:val="20"/>
          <w:szCs w:val="20"/>
          <w:color w:val="auto"/>
        </w:rPr>
      </w:pPr>
      <w:r>
        <w:rPr>
          <w:rFonts w:ascii="Arial" w:cs="Arial" w:eastAsia="Arial" w:hAnsi="Arial"/>
          <w:sz w:val="17"/>
          <w:szCs w:val="17"/>
          <w:color w:val="auto"/>
        </w:rPr>
        <w:t xml:space="preserve">In connection with the ordinary share capital increase of January 30, 2018, and in accordance with the contribution agreement of January 30, 2018 (the </w:t>
      </w:r>
      <w:r>
        <w:rPr>
          <w:rFonts w:ascii="Arial" w:cs="Arial" w:eastAsia="Arial" w:hAnsi="Arial"/>
          <w:sz w:val="17"/>
          <w:szCs w:val="17"/>
          <w:b w:val="1"/>
          <w:bCs w:val="1"/>
          <w:color w:val="auto"/>
        </w:rPr>
        <w:t>Contribution Agreement</w:t>
      </w:r>
      <w:r>
        <w:rPr>
          <w:rFonts w:ascii="Arial" w:cs="Arial" w:eastAsia="Arial" w:hAnsi="Arial"/>
          <w:sz w:val="17"/>
          <w:szCs w:val="17"/>
          <w:color w:val="auto"/>
        </w:rPr>
        <w:t>), 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acquires from Clarksons Platou Securities AS (the </w:t>
      </w:r>
      <w:r>
        <w:rPr>
          <w:rFonts w:ascii="Arial" w:cs="Arial" w:eastAsia="Arial" w:hAnsi="Arial"/>
          <w:sz w:val="17"/>
          <w:szCs w:val="17"/>
          <w:b w:val="1"/>
          <w:bCs w:val="1"/>
          <w:color w:val="auto"/>
        </w:rPr>
        <w:t>Contributor</w:t>
      </w:r>
      <w:r>
        <w:rPr>
          <w:rFonts w:ascii="Arial" w:cs="Arial" w:eastAsia="Arial" w:hAnsi="Arial"/>
          <w:sz w:val="17"/>
          <w:szCs w:val="17"/>
          <w:color w:val="auto"/>
        </w:rPr>
        <w:t xml:space="preserve">), acting in its own name but for the account of the holders of shares with a nominal value of EUR 0.10 each in Songa Offshore SE, in Limassol (CY) (the </w:t>
      </w:r>
      <w:r>
        <w:rPr>
          <w:rFonts w:ascii="Arial" w:cs="Arial" w:eastAsia="Arial" w:hAnsi="Arial"/>
          <w:sz w:val="17"/>
          <w:szCs w:val="17"/>
          <w:b w:val="1"/>
          <w:bCs w:val="1"/>
          <w:color w:val="auto"/>
        </w:rPr>
        <w:t>Target Shares</w:t>
      </w:r>
      <w:r>
        <w:rPr>
          <w:rFonts w:ascii="Arial" w:cs="Arial" w:eastAsia="Arial" w:hAnsi="Arial"/>
          <w:sz w:val="17"/>
          <w:szCs w:val="17"/>
          <w:color w:val="auto"/>
        </w:rPr>
        <w:t xml:space="preserve">), who have tendered their Target Shares to the public tender offer of the Company of December 21, 2017, for all issued and outstanding Target Shares and who have appointed the Contributor as exchange agent (the </w:t>
      </w:r>
      <w:r>
        <w:rPr>
          <w:rFonts w:ascii="Arial" w:cs="Arial" w:eastAsia="Arial" w:hAnsi="Arial"/>
          <w:sz w:val="17"/>
          <w:szCs w:val="17"/>
          <w:b w:val="1"/>
          <w:bCs w:val="1"/>
          <w:color w:val="auto"/>
        </w:rPr>
        <w:t>Tendering Shareholders</w:t>
      </w:r>
      <w:r>
        <w:rPr>
          <w:rFonts w:ascii="Arial" w:cs="Arial" w:eastAsia="Arial" w:hAnsi="Arial"/>
          <w:sz w:val="17"/>
          <w:szCs w:val="17"/>
          <w:color w:val="auto"/>
        </w:rPr>
        <w:t>), in the</w:t>
      </w:r>
      <w:r>
        <w:rPr>
          <w:rFonts w:ascii="Arial" w:cs="Arial" w:eastAsia="Arial" w:hAnsi="Arial"/>
          <w:sz w:val="17"/>
          <w:szCs w:val="17"/>
          <w:b w:val="1"/>
          <w:bCs w:val="1"/>
          <w:color w:val="auto"/>
        </w:rPr>
        <w:t xml:space="preserve"> </w:t>
      </w:r>
      <w:r>
        <w:rPr>
          <w:rFonts w:ascii="Arial" w:cs="Arial" w:eastAsia="Arial" w:hAnsi="Arial"/>
          <w:sz w:val="17"/>
          <w:szCs w:val="17"/>
          <w:color w:val="auto"/>
        </w:rPr>
        <w:t>aggregate 187,390,391 Target Shares. The Target Shares are acquired for a total value of USD 1,122,468,442.09. As consideration for this contribution, the Company, in accordance with the Contribution Agreement, (i) issues to the Contributor, acting in its own name but for the account of the Tendering Shareholders, an aggregate number of 66,929,504 registered shares with a nominal value of CHF 0.10 each and an aggregate nominal value of</w:t>
      </w:r>
    </w:p>
    <w:p>
      <w:pPr>
        <w:spacing w:after="0" w:line="212" w:lineRule="exact"/>
        <w:rPr>
          <w:sz w:val="20"/>
          <w:szCs w:val="20"/>
          <w:color w:val="auto"/>
        </w:rPr>
      </w:pPr>
    </w:p>
    <w:p>
      <w:pPr>
        <w:ind w:left="2" w:right="220"/>
        <w:spacing w:after="0" w:line="248" w:lineRule="auto"/>
        <w:rPr>
          <w:sz w:val="20"/>
          <w:szCs w:val="20"/>
          <w:color w:val="auto"/>
        </w:rPr>
      </w:pPr>
      <w:r>
        <w:rPr>
          <w:rFonts w:ascii="Arial" w:cs="Arial" w:eastAsia="Arial" w:hAnsi="Arial"/>
          <w:sz w:val="17"/>
          <w:szCs w:val="17"/>
          <w:color w:val="auto"/>
        </w:rPr>
        <w:t xml:space="preserve">CHF 6,692,950.40, (ii) makes a cash payment in the aggregate amount of NOK 2,645,280 to the Tendering Shareholders (the </w:t>
      </w:r>
      <w:r>
        <w:rPr>
          <w:rFonts w:ascii="Arial" w:cs="Arial" w:eastAsia="Arial" w:hAnsi="Arial"/>
          <w:sz w:val="17"/>
          <w:szCs w:val="17"/>
          <w:b w:val="1"/>
          <w:bCs w:val="1"/>
          <w:color w:val="auto"/>
        </w:rPr>
        <w:t>Cash Payment</w:t>
      </w:r>
      <w:r>
        <w:rPr>
          <w:rFonts w:ascii="Arial" w:cs="Arial" w:eastAsia="Arial" w:hAnsi="Arial"/>
          <w:sz w:val="17"/>
          <w:szCs w:val="17"/>
          <w:color w:val="auto"/>
        </w:rPr>
        <w:t>) and</w:t>
      </w:r>
    </w:p>
    <w:p>
      <w:pPr>
        <w:spacing w:after="0" w:line="2" w:lineRule="exact"/>
        <w:rPr>
          <w:sz w:val="20"/>
          <w:szCs w:val="20"/>
          <w:color w:val="auto"/>
        </w:rPr>
      </w:pPr>
    </w:p>
    <w:p>
      <w:pPr>
        <w:ind w:left="2" w:right="40" w:hanging="2"/>
        <w:spacing w:after="0" w:line="234" w:lineRule="auto"/>
        <w:tabs>
          <w:tab w:leader="none" w:pos="292" w:val="left"/>
        </w:tabs>
        <w:numPr>
          <w:ilvl w:val="0"/>
          <w:numId w:val="212"/>
        </w:numPr>
        <w:rPr>
          <w:rFonts w:ascii="Arial" w:cs="Arial" w:eastAsia="Arial" w:hAnsi="Arial"/>
          <w:sz w:val="18"/>
          <w:szCs w:val="18"/>
          <w:color w:val="auto"/>
        </w:rPr>
      </w:pPr>
      <w:r>
        <w:rPr>
          <w:rFonts w:ascii="Arial" w:cs="Arial" w:eastAsia="Arial" w:hAnsi="Arial"/>
          <w:sz w:val="18"/>
          <w:szCs w:val="18"/>
          <w:color w:val="auto"/>
        </w:rPr>
        <w:t>issues a convertible loan to Transocean, Inc., Grand Cayman (CI) (</w:t>
      </w:r>
      <w:r>
        <w:rPr>
          <w:rFonts w:ascii="Arial" w:cs="Arial" w:eastAsia="Arial" w:hAnsi="Arial"/>
          <w:sz w:val="18"/>
          <w:szCs w:val="18"/>
          <w:b w:val="1"/>
          <w:bCs w:val="1"/>
          <w:color w:val="auto"/>
        </w:rPr>
        <w:t>TINC</w:t>
      </w:r>
      <w:r>
        <w:rPr>
          <w:rFonts w:ascii="Arial" w:cs="Arial" w:eastAsia="Arial" w:hAnsi="Arial"/>
          <w:sz w:val="18"/>
          <w:szCs w:val="18"/>
          <w:color w:val="auto"/>
        </w:rPr>
        <w:t>), in an aggregate nominal value of USD 561,440,000, for the purpose of financing the exchangeable bonds issued by TINC to the Tendering Shareholders in the aggregate amount of</w:t>
      </w:r>
    </w:p>
    <w:p>
      <w:pPr>
        <w:spacing w:after="0" w:line="4" w:lineRule="exact"/>
        <w:rPr>
          <w:rFonts w:ascii="Arial" w:cs="Arial" w:eastAsia="Arial" w:hAnsi="Arial"/>
          <w:sz w:val="18"/>
          <w:szCs w:val="18"/>
          <w:color w:val="auto"/>
        </w:rPr>
      </w:pPr>
    </w:p>
    <w:p>
      <w:pPr>
        <w:ind w:left="2" w:right="40"/>
        <w:spacing w:after="0" w:line="234" w:lineRule="auto"/>
        <w:rPr>
          <w:rFonts w:ascii="Arial" w:cs="Arial" w:eastAsia="Arial" w:hAnsi="Arial"/>
          <w:sz w:val="18"/>
          <w:szCs w:val="18"/>
          <w:color w:val="auto"/>
        </w:rPr>
      </w:pPr>
      <w:r>
        <w:rPr>
          <w:rFonts w:ascii="Arial" w:cs="Arial" w:eastAsia="Arial" w:hAnsi="Arial"/>
          <w:sz w:val="18"/>
          <w:szCs w:val="18"/>
          <w:color w:val="auto"/>
        </w:rPr>
        <w:t xml:space="preserve">USD 561,440,000 (the </w:t>
      </w:r>
      <w:r>
        <w:rPr>
          <w:rFonts w:ascii="Arial" w:cs="Arial" w:eastAsia="Arial" w:hAnsi="Arial"/>
          <w:sz w:val="18"/>
          <w:szCs w:val="18"/>
          <w:b w:val="1"/>
          <w:bCs w:val="1"/>
          <w:color w:val="auto"/>
        </w:rPr>
        <w:t>Convertible Loan</w:t>
      </w:r>
      <w:r>
        <w:rPr>
          <w:rFonts w:ascii="Arial" w:cs="Arial" w:eastAsia="Arial" w:hAnsi="Arial"/>
          <w:sz w:val="18"/>
          <w:szCs w:val="18"/>
          <w:color w:val="auto"/>
        </w:rPr>
        <w:t xml:space="preserve"> and the </w:t>
      </w:r>
      <w:r>
        <w:rPr>
          <w:rFonts w:ascii="Arial" w:cs="Arial" w:eastAsia="Arial" w:hAnsi="Arial"/>
          <w:sz w:val="18"/>
          <w:szCs w:val="18"/>
          <w:b w:val="1"/>
          <w:bCs w:val="1"/>
          <w:color w:val="auto"/>
        </w:rPr>
        <w:t>Exchangeable Bonds</w:t>
      </w:r>
      <w:r>
        <w:rPr>
          <w:rFonts w:ascii="Arial" w:cs="Arial" w:eastAsia="Arial" w:hAnsi="Arial"/>
          <w:sz w:val="18"/>
          <w:szCs w:val="18"/>
          <w:color w:val="auto"/>
        </w:rPr>
        <w:t>, respectively). The difference between (i) the total value of the contribution and (ii)</w:t>
      </w:r>
    </w:p>
    <w:p>
      <w:pPr>
        <w:spacing w:after="0" w:line="2" w:lineRule="exact"/>
        <w:rPr>
          <w:rFonts w:ascii="Arial" w:cs="Arial" w:eastAsia="Arial" w:hAnsi="Arial"/>
          <w:sz w:val="18"/>
          <w:szCs w:val="18"/>
          <w:color w:val="auto"/>
        </w:rPr>
      </w:pPr>
    </w:p>
    <w:p>
      <w:pPr>
        <w:ind w:left="2" w:right="80" w:hanging="2"/>
        <w:spacing w:after="0" w:line="248" w:lineRule="auto"/>
        <w:tabs>
          <w:tab w:leader="none" w:pos="262" w:val="left"/>
        </w:tabs>
        <w:numPr>
          <w:ilvl w:val="0"/>
          <w:numId w:val="213"/>
        </w:numPr>
        <w:rPr>
          <w:rFonts w:ascii="Arial" w:cs="Arial" w:eastAsia="Arial" w:hAnsi="Arial"/>
          <w:sz w:val="17"/>
          <w:szCs w:val="17"/>
          <w:color w:val="auto"/>
        </w:rPr>
      </w:pPr>
      <w:r>
        <w:rPr>
          <w:rFonts w:ascii="Arial" w:cs="Arial" w:eastAsia="Arial" w:hAnsi="Arial"/>
          <w:sz w:val="17"/>
          <w:szCs w:val="17"/>
          <w:color w:val="auto"/>
        </w:rPr>
        <w:t>the sum of the aggregate nominal value of the newly issued registered shares, nominal value of CHF 0.10 each,</w:t>
      </w:r>
    </w:p>
    <w:p>
      <w:pPr>
        <w:spacing w:after="0" w:line="1" w:lineRule="exact"/>
        <w:rPr>
          <w:rFonts w:ascii="Arial" w:cs="Arial" w:eastAsia="Arial" w:hAnsi="Arial"/>
          <w:sz w:val="17"/>
          <w:szCs w:val="17"/>
          <w:color w:val="auto"/>
        </w:rPr>
      </w:pPr>
    </w:p>
    <w:p>
      <w:pPr>
        <w:ind w:left="2" w:right="540" w:hanging="2"/>
        <w:spacing w:after="0"/>
        <w:tabs>
          <w:tab w:leader="none" w:pos="262"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the Cash Payment and (z) the Convertible Loan is allocated to the Company's reserves of capital contribution.</w:t>
      </w:r>
    </w:p>
    <w:p>
      <w:pPr>
        <w:sectPr>
          <w:pgSz w:w="11900" w:h="16838" w:orient="portrait"/>
          <w:cols w:equalWidth="0" w:num="4">
            <w:col w:w="960" w:space="354"/>
            <w:col w:w="3366" w:space="140"/>
            <w:col w:w="780" w:space="358"/>
            <w:col w:w="3342"/>
          </w:cols>
          <w:pgMar w:left="1220" w:top="670" w:right="1379" w:bottom="1440" w:gutter="0" w:footer="0" w:header="0"/>
          <w:type w:val="continuous"/>
        </w:sectPr>
      </w:pPr>
    </w:p>
    <w:bookmarkStart w:id="58" w:name="page59"/>
    <w:bookmarkEnd w:id="58"/>
    <w:p>
      <w:pPr>
        <w:jc w:val="right"/>
        <w:ind w:right="260"/>
        <w:spacing w:after="0"/>
        <w:rPr>
          <w:sz w:val="20"/>
          <w:szCs w:val="20"/>
          <w:color w:val="auto"/>
        </w:rPr>
      </w:pPr>
      <w:r>
        <w:rPr>
          <w:rFonts w:ascii="Arial" w:cs="Arial" w:eastAsia="Arial" w:hAnsi="Arial"/>
          <w:sz w:val="14"/>
          <w:szCs w:val="14"/>
          <w:color w:val="auto"/>
        </w:rPr>
        <w:t>- 51 -</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320"/>
        <w:spacing w:after="0"/>
        <w:rPr>
          <w:sz w:val="20"/>
          <w:szCs w:val="20"/>
          <w:color w:val="auto"/>
        </w:rPr>
      </w:pPr>
      <w:r>
        <w:rPr>
          <w:rFonts w:ascii="Arial" w:cs="Arial" w:eastAsia="Arial" w:hAnsi="Arial"/>
          <w:sz w:val="18"/>
          <w:szCs w:val="18"/>
          <w:b w:val="1"/>
          <w:bCs w:val="1"/>
          <w:color w:val="auto"/>
        </w:rPr>
        <w:t>Artikel 36</w:t>
      </w:r>
      <w:r>
        <w:rPr>
          <w:rFonts w:ascii="Arial" w:cs="Arial" w:eastAsia="Arial" w:hAnsi="Arial"/>
          <w:sz w:val="26"/>
          <w:szCs w:val="26"/>
          <w:b w:val="1"/>
          <w:bCs w:val="1"/>
          <w:color w:val="auto"/>
          <w:vertAlign w:val="superscript"/>
        </w:rPr>
        <w:t>ter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Article 36</w:t>
      </w:r>
      <w:r>
        <w:rPr>
          <w:rFonts w:ascii="Arial" w:cs="Arial" w:eastAsia="Arial" w:hAnsi="Arial"/>
          <w:sz w:val="25"/>
          <w:szCs w:val="25"/>
          <w:b w:val="1"/>
          <w:bCs w:val="1"/>
          <w:color w:val="auto"/>
          <w:vertAlign w:val="superscript"/>
        </w:rPr>
        <w:t>ter</w:t>
      </w:r>
    </w:p>
    <w:p>
      <w:pPr>
        <w:spacing w:after="0" w:line="211" w:lineRule="exact"/>
        <w:rPr>
          <w:sz w:val="20"/>
          <w:szCs w:val="20"/>
          <w:color w:val="auto"/>
        </w:rPr>
      </w:pPr>
    </w:p>
    <w:p>
      <w:pPr>
        <w:sectPr>
          <w:pgSz w:w="11900" w:h="16838" w:orient="portrait"/>
          <w:cols w:equalWidth="0" w:num="2">
            <w:col w:w="5240" w:space="720"/>
            <w:col w:w="3380"/>
          </w:cols>
          <w:pgMar w:left="1220" w:top="670" w:right="1339" w:bottom="1440" w:gutter="0" w:footer="0" w:header="0"/>
        </w:sectPr>
      </w:pP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color w:val="auto"/>
        </w:rPr>
        <w:t>Gemischte</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Sacheinlage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und</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Sachübername</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ind w:left="6" w:right="540"/>
        <w:spacing w:after="0" w:line="259" w:lineRule="auto"/>
        <w:rPr>
          <w:sz w:val="20"/>
          <w:szCs w:val="20"/>
          <w:color w:val="auto"/>
        </w:rPr>
      </w:pPr>
      <w:r>
        <w:rPr>
          <w:rFonts w:ascii="Arial" w:cs="Arial" w:eastAsia="Arial" w:hAnsi="Arial"/>
          <w:sz w:val="17"/>
          <w:szCs w:val="17"/>
          <w:color w:val="auto"/>
        </w:rPr>
        <w:t>Die Gesellschaft übernimmt in der genehmigten Kapitalerhöhung vom</w:t>
      </w:r>
    </w:p>
    <w:p>
      <w:pPr>
        <w:spacing w:after="0" w:line="1" w:lineRule="exact"/>
        <w:rPr>
          <w:sz w:val="20"/>
          <w:szCs w:val="20"/>
          <w:color w:val="auto"/>
        </w:rPr>
      </w:pPr>
    </w:p>
    <w:p>
      <w:pPr>
        <w:ind w:left="6" w:hanging="6"/>
        <w:spacing w:after="0" w:line="234" w:lineRule="auto"/>
        <w:tabs>
          <w:tab w:leader="none" w:pos="306" w:val="left"/>
        </w:tabs>
        <w:numPr>
          <w:ilvl w:val="0"/>
          <w:numId w:val="214"/>
        </w:numPr>
        <w:rPr>
          <w:rFonts w:ascii="Arial" w:cs="Arial" w:eastAsia="Arial" w:hAnsi="Arial"/>
          <w:sz w:val="18"/>
          <w:szCs w:val="18"/>
          <w:color w:val="auto"/>
        </w:rPr>
      </w:pPr>
      <w:r>
        <w:rPr>
          <w:rFonts w:ascii="Arial" w:cs="Arial" w:eastAsia="Arial" w:hAnsi="Arial"/>
          <w:sz w:val="18"/>
          <w:szCs w:val="18"/>
          <w:color w:val="auto"/>
        </w:rPr>
        <w:t xml:space="preserve">März 2018 gemäss dem Sacheinlagevertrag vom 27. März 2018 (der </w:t>
      </w:r>
      <w:r>
        <w:rPr>
          <w:rFonts w:ascii="Arial" w:cs="Arial" w:eastAsia="Arial" w:hAnsi="Arial"/>
          <w:sz w:val="18"/>
          <w:szCs w:val="18"/>
          <w:b w:val="1"/>
          <w:bCs w:val="1"/>
          <w:color w:val="auto"/>
        </w:rPr>
        <w:t>Einlagevertrag</w:t>
      </w:r>
      <w:r>
        <w:rPr>
          <w:rFonts w:ascii="Arial" w:cs="Arial" w:eastAsia="Arial" w:hAnsi="Arial"/>
          <w:sz w:val="18"/>
          <w:szCs w:val="18"/>
          <w:color w:val="auto"/>
        </w:rPr>
        <w:t xml:space="preserve">) von der Clarksons Platou Securities AS (die </w:t>
      </w:r>
      <w:r>
        <w:rPr>
          <w:rFonts w:ascii="Arial" w:cs="Arial" w:eastAsia="Arial" w:hAnsi="Arial"/>
          <w:sz w:val="18"/>
          <w:szCs w:val="18"/>
          <w:b w:val="1"/>
          <w:bCs w:val="1"/>
          <w:color w:val="auto"/>
        </w:rPr>
        <w:t>Einlegerin</w:t>
      </w:r>
      <w:r>
        <w:rPr>
          <w:rFonts w:ascii="Arial" w:cs="Arial" w:eastAsia="Arial" w:hAnsi="Arial"/>
          <w:sz w:val="18"/>
          <w:szCs w:val="18"/>
          <w:color w:val="auto"/>
        </w:rPr>
        <w:t xml:space="preserve">), handelnd im eigenen Namen aber auf Rechnung der Inhaber der Aktien mit einem Nennwert von je EUR 0.10 der Songa Offshore SE, in Limassol (CY) (die </w:t>
      </w:r>
      <w:r>
        <w:rPr>
          <w:rFonts w:ascii="Arial" w:cs="Arial" w:eastAsia="Arial" w:hAnsi="Arial"/>
          <w:sz w:val="18"/>
          <w:szCs w:val="18"/>
          <w:b w:val="1"/>
          <w:bCs w:val="1"/>
          <w:color w:val="auto"/>
        </w:rPr>
        <w:t>Songa Aktien</w:t>
      </w:r>
      <w:r>
        <w:rPr>
          <w:rFonts w:ascii="Arial" w:cs="Arial" w:eastAsia="Arial" w:hAnsi="Arial"/>
          <w:sz w:val="18"/>
          <w:szCs w:val="18"/>
          <w:color w:val="auto"/>
        </w:rPr>
        <w:t>), deren Songa Aktien</w:t>
      </w:r>
    </w:p>
    <w:p>
      <w:pPr>
        <w:spacing w:after="0" w:line="6" w:lineRule="exact"/>
        <w:rPr>
          <w:rFonts w:ascii="Arial" w:cs="Arial" w:eastAsia="Arial" w:hAnsi="Arial"/>
          <w:sz w:val="18"/>
          <w:szCs w:val="18"/>
          <w:color w:val="auto"/>
        </w:rPr>
      </w:pPr>
    </w:p>
    <w:p>
      <w:pPr>
        <w:ind w:left="6" w:right="40"/>
        <w:spacing w:after="0" w:line="234" w:lineRule="auto"/>
        <w:rPr>
          <w:rFonts w:ascii="Arial" w:cs="Arial" w:eastAsia="Arial" w:hAnsi="Arial"/>
          <w:sz w:val="18"/>
          <w:szCs w:val="18"/>
          <w:color w:val="auto"/>
        </w:rPr>
      </w:pPr>
      <w:r>
        <w:rPr>
          <w:rFonts w:ascii="Arial" w:cs="Arial" w:eastAsia="Arial" w:hAnsi="Arial"/>
          <w:sz w:val="18"/>
          <w:szCs w:val="18"/>
          <w:color w:val="auto"/>
        </w:rPr>
        <w:t xml:space="preserve">(a) am 30. Januar 2018 im Rahmen des Vollzugs des öffentlichen Übernahmeangebots der Gesellschaft vom 21. Dezember 2017 für sämtliche ausgegebenen und ausstehenden Songa Aktien von der Gesellschaft nicht erworben wurden, (b) somit dem Zwangserwerb der Gesellschaft gemäss dem Supplemental Prospectus vom 16. Februar 2018 und Artikel 36 des zypriotischen Takeover Bids Law (L.41(I)/2007) unterliegen und (c) von der Einlegerin in die Gesellschaft eingelegt werden (die </w:t>
      </w:r>
      <w:r>
        <w:rPr>
          <w:rFonts w:ascii="Arial" w:cs="Arial" w:eastAsia="Arial" w:hAnsi="Arial"/>
          <w:sz w:val="18"/>
          <w:szCs w:val="18"/>
          <w:b w:val="1"/>
          <w:bCs w:val="1"/>
          <w:color w:val="auto"/>
        </w:rPr>
        <w:t>Squeeze-out Aktionäre</w:t>
      </w:r>
      <w:r>
        <w:rPr>
          <w:rFonts w:ascii="Arial" w:cs="Arial" w:eastAsia="Arial" w:hAnsi="Arial"/>
          <w:sz w:val="18"/>
          <w:szCs w:val="18"/>
          <w:color w:val="auto"/>
        </w:rPr>
        <w:t>), insgesamt 4'475'201 Songa Aktien. Die Songa Aktien werden zu einem Übernahmewert von insgesamt</w:t>
      </w:r>
    </w:p>
    <w:p>
      <w:pPr>
        <w:spacing w:after="0" w:line="11" w:lineRule="exact"/>
        <w:rPr>
          <w:rFonts w:ascii="Arial" w:cs="Arial" w:eastAsia="Arial" w:hAnsi="Arial"/>
          <w:sz w:val="18"/>
          <w:szCs w:val="18"/>
          <w:color w:val="auto"/>
        </w:rPr>
      </w:pPr>
    </w:p>
    <w:p>
      <w:pPr>
        <w:ind w:left="6" w:right="40"/>
        <w:spacing w:after="0" w:line="234" w:lineRule="auto"/>
        <w:rPr>
          <w:rFonts w:ascii="Arial" w:cs="Arial" w:eastAsia="Arial" w:hAnsi="Arial"/>
          <w:sz w:val="18"/>
          <w:szCs w:val="18"/>
          <w:color w:val="auto"/>
        </w:rPr>
      </w:pPr>
      <w:r>
        <w:rPr>
          <w:rFonts w:ascii="Arial" w:cs="Arial" w:eastAsia="Arial" w:hAnsi="Arial"/>
          <w:sz w:val="18"/>
          <w:szCs w:val="18"/>
          <w:color w:val="auto"/>
        </w:rPr>
        <w:t>USD 26'806'453.99 übernommen. Im Einklang mit dem Einlagevertrag (i) weist die Gesellschaft der Einlegerin, handelnd im eigenen Namen aber auf Rechnung der Squeeze-out Aktionäre, insgesamt 1'121'201 Namenaktien mit einem Nennwert von je CHF 0.10 und gesamthaft CHF 112'120.10 zu, (ii) leistet eine Barzahlung von insgesamt</w:t>
      </w:r>
    </w:p>
    <w:p>
      <w:pPr>
        <w:spacing w:after="0" w:line="6" w:lineRule="exact"/>
        <w:rPr>
          <w:rFonts w:ascii="Arial" w:cs="Arial" w:eastAsia="Arial" w:hAnsi="Arial"/>
          <w:sz w:val="18"/>
          <w:szCs w:val="18"/>
          <w:color w:val="auto"/>
        </w:rPr>
      </w:pPr>
    </w:p>
    <w:p>
      <w:pPr>
        <w:ind w:left="6" w:right="120"/>
        <w:spacing w:after="0" w:line="234" w:lineRule="auto"/>
        <w:rPr>
          <w:rFonts w:ascii="Arial" w:cs="Arial" w:eastAsia="Arial" w:hAnsi="Arial"/>
          <w:sz w:val="18"/>
          <w:szCs w:val="18"/>
          <w:color w:val="auto"/>
        </w:rPr>
      </w:pPr>
      <w:r>
        <w:rPr>
          <w:rFonts w:ascii="Arial" w:cs="Arial" w:eastAsia="Arial" w:hAnsi="Arial"/>
          <w:sz w:val="18"/>
          <w:szCs w:val="18"/>
          <w:color w:val="auto"/>
        </w:rPr>
        <w:t xml:space="preserve">NOK 63'745'857.21 an die Squeeze-out Aktionäre (die </w:t>
      </w:r>
      <w:r>
        <w:rPr>
          <w:rFonts w:ascii="Arial" w:cs="Arial" w:eastAsia="Arial" w:hAnsi="Arial"/>
          <w:sz w:val="18"/>
          <w:szCs w:val="18"/>
          <w:b w:val="1"/>
          <w:bCs w:val="1"/>
          <w:color w:val="auto"/>
        </w:rPr>
        <w:t>Barzahlung</w:t>
      </w:r>
      <w:r>
        <w:rPr>
          <w:rFonts w:ascii="Arial" w:cs="Arial" w:eastAsia="Arial" w:hAnsi="Arial"/>
          <w:sz w:val="18"/>
          <w:szCs w:val="18"/>
          <w:color w:val="auto"/>
        </w:rPr>
        <w:t>) und (iii) gibt an Transocean Inc., Grand Cayman (CI) (</w:t>
      </w:r>
      <w:r>
        <w:rPr>
          <w:rFonts w:ascii="Arial" w:cs="Arial" w:eastAsia="Arial" w:hAnsi="Arial"/>
          <w:sz w:val="18"/>
          <w:szCs w:val="18"/>
          <w:b w:val="1"/>
          <w:bCs w:val="1"/>
          <w:color w:val="auto"/>
        </w:rPr>
        <w:t>TINC</w:t>
      </w:r>
      <w:r>
        <w:rPr>
          <w:rFonts w:ascii="Arial" w:cs="Arial" w:eastAsia="Arial" w:hAnsi="Arial"/>
          <w:sz w:val="18"/>
          <w:szCs w:val="18"/>
          <w:color w:val="auto"/>
        </w:rPr>
        <w:t>) Exchangeable Loan Notes im Nominalwert von insgesamt</w:t>
      </w:r>
    </w:p>
    <w:p>
      <w:pPr>
        <w:spacing w:after="0" w:line="3" w:lineRule="exact"/>
        <w:rPr>
          <w:rFonts w:ascii="Arial" w:cs="Arial" w:eastAsia="Arial" w:hAnsi="Arial"/>
          <w:sz w:val="18"/>
          <w:szCs w:val="18"/>
          <w:color w:val="auto"/>
        </w:rPr>
      </w:pPr>
    </w:p>
    <w:p>
      <w:pPr>
        <w:ind w:left="6" w:right="40"/>
        <w:spacing w:after="0" w:line="248" w:lineRule="auto"/>
        <w:rPr>
          <w:rFonts w:ascii="Arial" w:cs="Arial" w:eastAsia="Arial" w:hAnsi="Arial"/>
          <w:sz w:val="18"/>
          <w:szCs w:val="18"/>
          <w:color w:val="auto"/>
        </w:rPr>
      </w:pPr>
      <w:r>
        <w:rPr>
          <w:rFonts w:ascii="Arial" w:cs="Arial" w:eastAsia="Arial" w:hAnsi="Arial"/>
          <w:sz w:val="17"/>
          <w:szCs w:val="17"/>
          <w:color w:val="auto"/>
        </w:rPr>
        <w:t xml:space="preserve">USD 9'375'000 (die </w:t>
      </w:r>
      <w:r>
        <w:rPr>
          <w:rFonts w:ascii="Arial" w:cs="Arial" w:eastAsia="Arial" w:hAnsi="Arial"/>
          <w:sz w:val="17"/>
          <w:szCs w:val="17"/>
          <w:b w:val="1"/>
          <w:bCs w:val="1"/>
          <w:color w:val="auto"/>
        </w:rPr>
        <w:t>Exchangeable Loan</w:t>
      </w:r>
      <w:r>
        <w:rPr>
          <w:rFonts w:ascii="Arial" w:cs="Arial" w:eastAsia="Arial" w:hAnsi="Arial"/>
          <w:sz w:val="17"/>
          <w:szCs w:val="17"/>
          <w:color w:val="auto"/>
        </w:rPr>
        <w:t xml:space="preserve"> </w:t>
      </w:r>
      <w:r>
        <w:rPr>
          <w:rFonts w:ascii="Arial" w:cs="Arial" w:eastAsia="Arial" w:hAnsi="Arial"/>
          <w:sz w:val="17"/>
          <w:szCs w:val="17"/>
          <w:b w:val="1"/>
          <w:bCs w:val="1"/>
          <w:color w:val="auto"/>
        </w:rPr>
        <w:t>Notes</w:t>
      </w:r>
      <w:r>
        <w:rPr>
          <w:rFonts w:ascii="Arial" w:cs="Arial" w:eastAsia="Arial" w:hAnsi="Arial"/>
          <w:sz w:val="17"/>
          <w:szCs w:val="17"/>
          <w:color w:val="auto"/>
        </w:rPr>
        <w:t>) aus zwecks Finanzierung der von</w:t>
      </w:r>
      <w:r>
        <w:rPr>
          <w:rFonts w:ascii="Arial" w:cs="Arial" w:eastAsia="Arial" w:hAnsi="Arial"/>
          <w:sz w:val="17"/>
          <w:szCs w:val="17"/>
          <w:b w:val="1"/>
          <w:bCs w:val="1"/>
          <w:color w:val="auto"/>
        </w:rPr>
        <w:t xml:space="preserve"> </w:t>
      </w:r>
      <w:r>
        <w:rPr>
          <w:rFonts w:ascii="Arial" w:cs="Arial" w:eastAsia="Arial" w:hAnsi="Arial"/>
          <w:sz w:val="17"/>
          <w:szCs w:val="17"/>
          <w:color w:val="auto"/>
        </w:rPr>
        <w:t>TINC an die Squeeze-out Aktionäre ausgegebenen Wandelanleihen im Nominalwert von insgesamt</w:t>
      </w:r>
    </w:p>
    <w:p>
      <w:pPr>
        <w:spacing w:after="0" w:line="2" w:lineRule="exact"/>
        <w:rPr>
          <w:rFonts w:ascii="Arial" w:cs="Arial" w:eastAsia="Arial" w:hAnsi="Arial"/>
          <w:sz w:val="18"/>
          <w:szCs w:val="18"/>
          <w:color w:val="auto"/>
        </w:rPr>
      </w:pPr>
    </w:p>
    <w:p>
      <w:pPr>
        <w:ind w:left="6" w:right="260"/>
        <w:spacing w:after="0" w:line="264" w:lineRule="auto"/>
        <w:rPr>
          <w:rFonts w:ascii="Arial" w:cs="Arial" w:eastAsia="Arial" w:hAnsi="Arial"/>
          <w:sz w:val="18"/>
          <w:szCs w:val="18"/>
          <w:color w:val="auto"/>
        </w:rPr>
      </w:pPr>
      <w:r>
        <w:rPr>
          <w:rFonts w:ascii="Arial" w:cs="Arial" w:eastAsia="Arial" w:hAnsi="Arial"/>
          <w:sz w:val="17"/>
          <w:szCs w:val="17"/>
          <w:color w:val="auto"/>
        </w:rPr>
        <w:t xml:space="preserve">USD 9'375'000 (die </w:t>
      </w:r>
      <w:r>
        <w:rPr>
          <w:rFonts w:ascii="Arial" w:cs="Arial" w:eastAsia="Arial" w:hAnsi="Arial"/>
          <w:sz w:val="17"/>
          <w:szCs w:val="17"/>
          <w:b w:val="1"/>
          <w:bCs w:val="1"/>
          <w:color w:val="auto"/>
        </w:rPr>
        <w:t>Wandelanleihen</w:t>
      </w:r>
      <w:r>
        <w:rPr>
          <w:rFonts w:ascii="Arial" w:cs="Arial" w:eastAsia="Arial" w:hAnsi="Arial"/>
          <w:sz w:val="17"/>
          <w:szCs w:val="17"/>
          <w:color w:val="auto"/>
        </w:rPr>
        <w:t>). Die Gesellschaft weist die Differenz zwischen (i) dem Übernahmewert der</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color w:val="auto"/>
        </w:rPr>
        <w:t>Mixed</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Contribution</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in Kind and</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Acquisition</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of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-3146425</wp:posOffset>
            </wp:positionH>
            <wp:positionV relativeFrom="paragraph">
              <wp:posOffset>6289675</wp:posOffset>
            </wp:positionV>
            <wp:extent cx="629221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ind w:left="2" w:right="40"/>
        <w:spacing w:after="0" w:line="250" w:lineRule="auto"/>
        <w:rPr>
          <w:sz w:val="20"/>
          <w:szCs w:val="20"/>
          <w:color w:val="auto"/>
        </w:rPr>
      </w:pPr>
      <w:r>
        <w:rPr>
          <w:rFonts w:ascii="Arial" w:cs="Arial" w:eastAsia="Arial" w:hAnsi="Arial"/>
          <w:sz w:val="17"/>
          <w:szCs w:val="17"/>
          <w:color w:val="auto"/>
        </w:rPr>
        <w:t xml:space="preserve">In connection with the authorized share capital increase of 27 March 2018, and in accordance with the contribution agreement of 27 March 2018 (the </w:t>
      </w:r>
      <w:r>
        <w:rPr>
          <w:rFonts w:ascii="Arial" w:cs="Arial" w:eastAsia="Arial" w:hAnsi="Arial"/>
          <w:sz w:val="17"/>
          <w:szCs w:val="17"/>
          <w:b w:val="1"/>
          <w:bCs w:val="1"/>
          <w:color w:val="auto"/>
        </w:rPr>
        <w:t>Contribution Agreement</w:t>
      </w:r>
      <w:r>
        <w:rPr>
          <w:rFonts w:ascii="Arial" w:cs="Arial" w:eastAsia="Arial" w:hAnsi="Arial"/>
          <w:sz w:val="17"/>
          <w:szCs w:val="17"/>
          <w:color w:val="auto"/>
        </w:rPr>
        <w:t>), 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acquires from Clarksons Platou Securities AS (the </w:t>
      </w:r>
      <w:r>
        <w:rPr>
          <w:rFonts w:ascii="Arial" w:cs="Arial" w:eastAsia="Arial" w:hAnsi="Arial"/>
          <w:sz w:val="17"/>
          <w:szCs w:val="17"/>
          <w:b w:val="1"/>
          <w:bCs w:val="1"/>
          <w:color w:val="auto"/>
        </w:rPr>
        <w:t>Contributor</w:t>
      </w:r>
      <w:r>
        <w:rPr>
          <w:rFonts w:ascii="Arial" w:cs="Arial" w:eastAsia="Arial" w:hAnsi="Arial"/>
          <w:sz w:val="17"/>
          <w:szCs w:val="17"/>
          <w:color w:val="auto"/>
        </w:rPr>
        <w:t xml:space="preserve">), acting in its own name but for the account of the holders of shares with a nominal value of EUR 0.10 each in Songa Offshore SE, in Limassol (CY) (the </w:t>
      </w:r>
      <w:r>
        <w:rPr>
          <w:rFonts w:ascii="Arial" w:cs="Arial" w:eastAsia="Arial" w:hAnsi="Arial"/>
          <w:sz w:val="17"/>
          <w:szCs w:val="17"/>
          <w:b w:val="1"/>
          <w:bCs w:val="1"/>
          <w:color w:val="auto"/>
        </w:rPr>
        <w:t>Songa Shares</w:t>
      </w:r>
      <w:r>
        <w:rPr>
          <w:rFonts w:ascii="Arial" w:cs="Arial" w:eastAsia="Arial" w:hAnsi="Arial"/>
          <w:sz w:val="17"/>
          <w:szCs w:val="17"/>
          <w:color w:val="auto"/>
        </w:rPr>
        <w:t>), whose Songa Shares (a) were not acquired on January 30, 2018 by the Company upon settlement of the public tender offer of the Company of December 21, 2017, for all issued and outstanding Songa Shares,</w:t>
      </w:r>
    </w:p>
    <w:p>
      <w:pPr>
        <w:ind w:left="2" w:hanging="2"/>
        <w:spacing w:after="0" w:line="234" w:lineRule="auto"/>
        <w:tabs>
          <w:tab w:leader="none" w:pos="272" w:val="left"/>
        </w:tabs>
        <w:numPr>
          <w:ilvl w:val="0"/>
          <w:numId w:val="215"/>
        </w:numPr>
        <w:rPr>
          <w:rFonts w:ascii="Arial" w:cs="Arial" w:eastAsia="Arial" w:hAnsi="Arial"/>
          <w:sz w:val="18"/>
          <w:szCs w:val="18"/>
          <w:color w:val="auto"/>
        </w:rPr>
      </w:pPr>
      <w:r>
        <w:rPr>
          <w:rFonts w:ascii="Arial" w:cs="Arial" w:eastAsia="Arial" w:hAnsi="Arial"/>
          <w:sz w:val="18"/>
          <w:szCs w:val="18"/>
          <w:color w:val="auto"/>
        </w:rPr>
        <w:t xml:space="preserve">are therefore subject to a compulsory acquisition pursuant to the Supplemental Prospectus dated as of February 16, 2018 and article 36 of the Cyprus Takeover Bids Law (L.41(I)/2007), and (c) are contributed to the Company by the Contributor (the </w:t>
      </w:r>
      <w:r>
        <w:rPr>
          <w:rFonts w:ascii="Arial" w:cs="Arial" w:eastAsia="Arial" w:hAnsi="Arial"/>
          <w:sz w:val="18"/>
          <w:szCs w:val="18"/>
          <w:b w:val="1"/>
          <w:bCs w:val="1"/>
          <w:color w:val="auto"/>
        </w:rPr>
        <w:t>Squeeze-out Shareholders</w:t>
      </w:r>
      <w:r>
        <w:rPr>
          <w:rFonts w:ascii="Arial" w:cs="Arial" w:eastAsia="Arial" w:hAnsi="Arial"/>
          <w:sz w:val="18"/>
          <w:szCs w:val="18"/>
          <w:color w:val="auto"/>
        </w:rPr>
        <w:t>), 4,475'201</w:t>
      </w:r>
      <w:r>
        <w:rPr>
          <w:rFonts w:ascii="Arial" w:cs="Arial" w:eastAsia="Arial" w:hAnsi="Arial"/>
          <w:sz w:val="18"/>
          <w:szCs w:val="18"/>
          <w:b w:val="1"/>
          <w:bCs w:val="1"/>
          <w:color w:val="auto"/>
        </w:rPr>
        <w:t xml:space="preserve"> </w:t>
      </w:r>
      <w:r>
        <w:rPr>
          <w:rFonts w:ascii="Arial" w:cs="Arial" w:eastAsia="Arial" w:hAnsi="Arial"/>
          <w:sz w:val="18"/>
          <w:szCs w:val="18"/>
          <w:color w:val="auto"/>
        </w:rPr>
        <w:t>Songa Shares in the aggregate. The Songa Shares are acquired for a total value of USD 26,806,453.99. As consideration for this contribution, the Company, in accordance with the Contribution Agreement, (i) issues to the Contributor, acting in its own name but for the account of the Squeeze-out Shareholders, an aggregate number of 1,121,201 registered shares with a nominal value of CHF 0.10 each and an aggregate nominal value of</w:t>
      </w:r>
    </w:p>
    <w:p>
      <w:pPr>
        <w:spacing w:after="0" w:line="13" w:lineRule="exact"/>
        <w:rPr>
          <w:rFonts w:ascii="Arial" w:cs="Arial" w:eastAsia="Arial" w:hAnsi="Arial"/>
          <w:sz w:val="18"/>
          <w:szCs w:val="18"/>
          <w:color w:val="auto"/>
        </w:rPr>
      </w:pPr>
    </w:p>
    <w:p>
      <w:pPr>
        <w:ind w:left="2" w:right="260"/>
        <w:spacing w:after="0" w:line="248" w:lineRule="auto"/>
        <w:rPr>
          <w:rFonts w:ascii="Arial" w:cs="Arial" w:eastAsia="Arial" w:hAnsi="Arial"/>
          <w:sz w:val="18"/>
          <w:szCs w:val="18"/>
          <w:color w:val="auto"/>
        </w:rPr>
      </w:pPr>
      <w:r>
        <w:rPr>
          <w:rFonts w:ascii="Arial" w:cs="Arial" w:eastAsia="Arial" w:hAnsi="Arial"/>
          <w:sz w:val="17"/>
          <w:szCs w:val="17"/>
          <w:color w:val="auto"/>
        </w:rPr>
        <w:t xml:space="preserve">CHF 112,120.10, (ii) makes a cash payment in the aggregate amount of NOK 63'745'857.21 to the Squeeze-out Shareholders (the </w:t>
      </w:r>
      <w:r>
        <w:rPr>
          <w:rFonts w:ascii="Arial" w:cs="Arial" w:eastAsia="Arial" w:hAnsi="Arial"/>
          <w:sz w:val="17"/>
          <w:szCs w:val="17"/>
          <w:b w:val="1"/>
          <w:bCs w:val="1"/>
          <w:color w:val="auto"/>
        </w:rPr>
        <w:t>Cash Payment</w:t>
      </w:r>
      <w:r>
        <w:rPr>
          <w:rFonts w:ascii="Arial" w:cs="Arial" w:eastAsia="Arial" w:hAnsi="Arial"/>
          <w:sz w:val="17"/>
          <w:szCs w:val="17"/>
          <w:color w:val="auto"/>
        </w:rPr>
        <w:t>) and</w:t>
      </w:r>
    </w:p>
    <w:p>
      <w:pPr>
        <w:spacing w:after="0" w:line="2" w:lineRule="exact"/>
        <w:rPr>
          <w:rFonts w:ascii="Arial" w:cs="Arial" w:eastAsia="Arial" w:hAnsi="Arial"/>
          <w:sz w:val="18"/>
          <w:szCs w:val="18"/>
          <w:color w:val="auto"/>
        </w:rPr>
      </w:pPr>
    </w:p>
    <w:p>
      <w:pPr>
        <w:ind w:left="2" w:right="80" w:hanging="2"/>
        <w:spacing w:after="0" w:line="238" w:lineRule="auto"/>
        <w:tabs>
          <w:tab w:leader="none" w:pos="292" w:val="left"/>
        </w:tabs>
        <w:numPr>
          <w:ilvl w:val="0"/>
          <w:numId w:val="216"/>
        </w:numPr>
        <w:rPr>
          <w:rFonts w:ascii="Arial" w:cs="Arial" w:eastAsia="Arial" w:hAnsi="Arial"/>
          <w:sz w:val="18"/>
          <w:szCs w:val="18"/>
          <w:color w:val="auto"/>
        </w:rPr>
      </w:pPr>
      <w:r>
        <w:rPr>
          <w:rFonts w:ascii="Arial" w:cs="Arial" w:eastAsia="Arial" w:hAnsi="Arial"/>
          <w:sz w:val="18"/>
          <w:szCs w:val="18"/>
          <w:color w:val="auto"/>
        </w:rPr>
        <w:t>issues exchangeable loan notes to Transocean Inc., Grand Cayman (CI) (</w:t>
      </w:r>
      <w:r>
        <w:rPr>
          <w:rFonts w:ascii="Arial" w:cs="Arial" w:eastAsia="Arial" w:hAnsi="Arial"/>
          <w:sz w:val="18"/>
          <w:szCs w:val="18"/>
          <w:b w:val="1"/>
          <w:bCs w:val="1"/>
          <w:color w:val="auto"/>
        </w:rPr>
        <w:t>TINC</w:t>
      </w:r>
      <w:r>
        <w:rPr>
          <w:rFonts w:ascii="Arial" w:cs="Arial" w:eastAsia="Arial" w:hAnsi="Arial"/>
          <w:sz w:val="18"/>
          <w:szCs w:val="18"/>
          <w:color w:val="auto"/>
        </w:rPr>
        <w:t xml:space="preserve">), with an aggregate nominal value of USD 9,375,000 (the </w:t>
      </w:r>
      <w:r>
        <w:rPr>
          <w:rFonts w:ascii="Arial" w:cs="Arial" w:eastAsia="Arial" w:hAnsi="Arial"/>
          <w:sz w:val="18"/>
          <w:szCs w:val="18"/>
          <w:b w:val="1"/>
          <w:bCs w:val="1"/>
          <w:color w:val="auto"/>
        </w:rPr>
        <w:t>Exchangeable</w:t>
      </w:r>
      <w:r>
        <w:rPr>
          <w:rFonts w:ascii="Arial" w:cs="Arial" w:eastAsia="Arial" w:hAnsi="Arial"/>
          <w:sz w:val="18"/>
          <w:szCs w:val="18"/>
          <w:color w:val="auto"/>
        </w:rPr>
        <w:t xml:space="preserve"> </w:t>
      </w:r>
      <w:r>
        <w:rPr>
          <w:rFonts w:ascii="Arial" w:cs="Arial" w:eastAsia="Arial" w:hAnsi="Arial"/>
          <w:sz w:val="18"/>
          <w:szCs w:val="18"/>
          <w:b w:val="1"/>
          <w:bCs w:val="1"/>
          <w:color w:val="auto"/>
        </w:rPr>
        <w:t>Loan Notes</w:t>
      </w:r>
      <w:r>
        <w:rPr>
          <w:rFonts w:ascii="Arial" w:cs="Arial" w:eastAsia="Arial" w:hAnsi="Arial"/>
          <w:sz w:val="18"/>
          <w:szCs w:val="18"/>
          <w:color w:val="auto"/>
        </w:rPr>
        <w:t>) for the purpose of financing</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exchangeable bonds issued by TINC to the Squeeze-out Shareholders in the aggregate amount of USD 9,375,000 (the </w:t>
      </w:r>
      <w:r>
        <w:rPr>
          <w:rFonts w:ascii="Arial" w:cs="Arial" w:eastAsia="Arial" w:hAnsi="Arial"/>
          <w:sz w:val="18"/>
          <w:szCs w:val="18"/>
          <w:b w:val="1"/>
          <w:bCs w:val="1"/>
          <w:color w:val="auto"/>
        </w:rPr>
        <w:t>Exchangeable Bonds</w:t>
      </w:r>
      <w:r>
        <w:rPr>
          <w:rFonts w:ascii="Arial" w:cs="Arial" w:eastAsia="Arial" w:hAnsi="Arial"/>
          <w:sz w:val="18"/>
          <w:szCs w:val="18"/>
          <w:color w:val="auto"/>
        </w:rPr>
        <w:t>). The</w:t>
      </w:r>
    </w:p>
    <w:p>
      <w:pPr>
        <w:sectPr>
          <w:pgSz w:w="11900" w:h="16838" w:orient="portrait"/>
          <w:cols w:equalWidth="0" w:num="4">
            <w:col w:w="960" w:space="354"/>
            <w:col w:w="3326" w:space="180"/>
            <w:col w:w="780" w:space="358"/>
            <w:col w:w="3382"/>
          </w:cols>
          <w:pgMar w:left="1220" w:top="670" w:right="1339" w:bottom="1440" w:gutter="0" w:footer="0" w:header="0"/>
          <w:type w:val="continuous"/>
        </w:sectPr>
      </w:pPr>
    </w:p>
    <w:bookmarkStart w:id="59" w:name="page60"/>
    <w:bookmarkEnd w:id="59"/>
    <w:p>
      <w:pPr>
        <w:jc w:val="center"/>
        <w:ind w:right="-299"/>
        <w:spacing w:after="0"/>
        <w:rPr>
          <w:sz w:val="20"/>
          <w:szCs w:val="20"/>
          <w:color w:val="auto"/>
        </w:rPr>
      </w:pPr>
      <w:r>
        <w:rPr>
          <w:rFonts w:ascii="Arial" w:cs="Arial" w:eastAsia="Arial" w:hAnsi="Arial"/>
          <w:sz w:val="13"/>
          <w:szCs w:val="13"/>
          <w:color w:val="auto"/>
        </w:rPr>
        <w:t>- 52 -</w:t>
      </w:r>
    </w:p>
    <w:p>
      <w:pPr>
        <w:sectPr>
          <w:pgSz w:w="11900" w:h="16838" w:orient="portrait"/>
          <w:cols w:equalWidth="0" w:num="1">
            <w:col w:w="9340"/>
          </w:cols>
          <w:pgMar w:left="1220" w:top="670"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400" w:right="620"/>
        <w:spacing w:after="0"/>
        <w:rPr>
          <w:sz w:val="20"/>
          <w:szCs w:val="20"/>
          <w:color w:val="auto"/>
        </w:rPr>
      </w:pPr>
      <w:r>
        <w:rPr>
          <w:rFonts w:ascii="Arial" w:cs="Arial" w:eastAsia="Arial" w:hAnsi="Arial"/>
          <w:sz w:val="18"/>
          <w:szCs w:val="18"/>
          <w:color w:val="auto"/>
        </w:rPr>
        <w:t>Einlage und (ii)(x) dem Gesamtnennwert der neu ausgegebenen Namenaktien mit einem Nennwert von je CHF 0.10, (y) der Barzahlung und (z) dem Gesamtnominalwert der Exchangeable Loan Notes den gesetzlichen Kapitaleinlagereserven der Gesellschaft zu.</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0" w:lineRule="exact"/>
        <w:rPr>
          <w:sz w:val="20"/>
          <w:szCs w:val="20"/>
          <w:color w:val="auto"/>
        </w:rPr>
      </w:pPr>
    </w:p>
    <w:p>
      <w:pPr>
        <w:ind w:right="60"/>
        <w:spacing w:after="0" w:line="255" w:lineRule="auto"/>
        <w:rPr>
          <w:sz w:val="20"/>
          <w:szCs w:val="20"/>
          <w:color w:val="auto"/>
        </w:rPr>
      </w:pPr>
      <w:r>
        <w:rPr>
          <w:rFonts w:ascii="Arial" w:cs="Arial" w:eastAsia="Arial" w:hAnsi="Arial"/>
          <w:sz w:val="17"/>
          <w:szCs w:val="17"/>
          <w:color w:val="auto"/>
        </w:rPr>
        <w:t>difference between (i) the total value of the contribution and (ii)(x) the sum of the aggregate nominal value of the newly issued registered shares, nominal value of CHF 0.10 each, (y) the Cash Payment and (z) the aggregate nominal value of the Exchangeable Loan Notes is allocated to the Company's statutory capital reserves from capital contribution.</w:t>
      </w:r>
    </w:p>
    <w:p>
      <w:pPr>
        <w:spacing w:after="0" w:line="61" w:lineRule="exact"/>
        <w:rPr>
          <w:sz w:val="20"/>
          <w:szCs w:val="20"/>
          <w:color w:val="auto"/>
        </w:rPr>
      </w:pPr>
    </w:p>
    <w:p>
      <w:pPr>
        <w:sectPr>
          <w:pgSz w:w="11900" w:h="16838" w:orient="portrait"/>
          <w:cols w:equalWidth="0" w:num="2">
            <w:col w:w="5300" w:space="720"/>
            <w:col w:w="3320"/>
          </w:cols>
          <w:pgMar w:left="1220" w:top="670" w:right="1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4"/>
          <w:szCs w:val="14"/>
          <w:color w:val="auto"/>
        </w:rPr>
        <w:t>Gemischte</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Sacheinlage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und</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Sachübername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in</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Zusammenhang</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mit dem Erwerb</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von Ocean Rig</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UDW Inc.</w:t>
      </w:r>
    </w:p>
    <w:p>
      <w:pPr>
        <w:spacing w:after="0" w:line="20" w:lineRule="exact"/>
        <w:rPr>
          <w:sz w:val="20"/>
          <w:szCs w:val="20"/>
          <w:color w:val="auto"/>
        </w:rPr>
      </w:pPr>
      <w:r>
        <w:rPr>
          <w:sz w:val="20"/>
          <w:szCs w:val="20"/>
          <w:color w:val="auto"/>
        </w:rPr>
        <w:br w:type="column"/>
      </w:r>
    </w:p>
    <w:p>
      <w:pPr>
        <w:ind w:left="234"/>
        <w:spacing w:after="0"/>
        <w:rPr>
          <w:sz w:val="20"/>
          <w:szCs w:val="20"/>
          <w:color w:val="auto"/>
        </w:rPr>
      </w:pPr>
      <w:r>
        <w:rPr>
          <w:rFonts w:ascii="Arial" w:cs="Arial" w:eastAsia="Arial" w:hAnsi="Arial"/>
          <w:sz w:val="18"/>
          <w:szCs w:val="18"/>
          <w:b w:val="1"/>
          <w:bCs w:val="1"/>
          <w:color w:val="auto"/>
        </w:rPr>
        <w:t>Artikel 36</w:t>
      </w:r>
      <w:r>
        <w:rPr>
          <w:rFonts w:ascii="Arial" w:cs="Arial" w:eastAsia="Arial" w:hAnsi="Arial"/>
          <w:sz w:val="26"/>
          <w:szCs w:val="26"/>
          <w:b w:val="1"/>
          <w:bCs w:val="1"/>
          <w:color w:val="auto"/>
          <w:vertAlign w:val="superscript"/>
        </w:rPr>
        <w:t>quater</w:t>
      </w:r>
    </w:p>
    <w:p>
      <w:pPr>
        <w:spacing w:after="0" w:line="349" w:lineRule="exact"/>
        <w:rPr>
          <w:sz w:val="20"/>
          <w:szCs w:val="20"/>
          <w:color w:val="auto"/>
        </w:rPr>
      </w:pPr>
    </w:p>
    <w:p>
      <w:pPr>
        <w:ind w:left="234" w:hanging="234"/>
        <w:spacing w:after="0"/>
        <w:tabs>
          <w:tab w:leader="none" w:pos="234" w:val="left"/>
        </w:tabs>
        <w:numPr>
          <w:ilvl w:val="0"/>
          <w:numId w:val="217"/>
        </w:numPr>
        <w:rPr>
          <w:rFonts w:ascii="Arial" w:cs="Arial" w:eastAsia="Arial" w:hAnsi="Arial"/>
          <w:sz w:val="18"/>
          <w:szCs w:val="18"/>
          <w:color w:val="auto"/>
        </w:rPr>
      </w:pPr>
      <w:r>
        <w:rPr>
          <w:rFonts w:ascii="Arial" w:cs="Arial" w:eastAsia="Arial" w:hAnsi="Arial"/>
          <w:sz w:val="18"/>
          <w:szCs w:val="18"/>
          <w:color w:val="auto"/>
        </w:rPr>
        <w:t>Die Gesellschaft übernimmt in der Aktienkapitalerhöhung aus dem genehmigten Aktienkapital gemäss Art. 5</w:t>
      </w:r>
      <w:r>
        <w:rPr>
          <w:rFonts w:ascii="Arial" w:cs="Arial" w:eastAsia="Arial" w:hAnsi="Arial"/>
          <w:sz w:val="26"/>
          <w:szCs w:val="26"/>
          <w:color w:val="auto"/>
          <w:vertAlign w:val="superscript"/>
        </w:rPr>
        <w:t>ter</w:t>
      </w:r>
      <w:r>
        <w:rPr>
          <w:rFonts w:ascii="Arial" w:cs="Arial" w:eastAsia="Arial" w:hAnsi="Arial"/>
          <w:sz w:val="18"/>
          <w:szCs w:val="18"/>
          <w:color w:val="auto"/>
        </w:rPr>
        <w:t xml:space="preserve"> vom 30. November 2018 im Rahmen des indirekten Erwerbs der Ocean Rig UDW Inc., einer nach dem Recht der Kaimaninseln organisierten Gesellschaft (</w:t>
      </w:r>
      <w:r>
        <w:rPr>
          <w:rFonts w:ascii="Arial" w:cs="Arial" w:eastAsia="Arial" w:hAnsi="Arial"/>
          <w:sz w:val="18"/>
          <w:szCs w:val="18"/>
          <w:b w:val="1"/>
          <w:bCs w:val="1"/>
          <w:color w:val="auto"/>
        </w:rPr>
        <w:t>Ocean Rig</w:t>
      </w:r>
      <w:r>
        <w:rPr>
          <w:rFonts w:ascii="Arial" w:cs="Arial" w:eastAsia="Arial" w:hAnsi="Arial"/>
          <w:sz w:val="18"/>
          <w:szCs w:val="18"/>
          <w:color w:val="auto"/>
        </w:rPr>
        <w:t xml:space="preserve">), im Wege eines Merger nach dem Recht der Kaimaninseln von der Computershare Trust Company, eine nach dem Recht des Staates Delaware organisierte Gesellschaft (der </w:t>
      </w:r>
      <w:r>
        <w:rPr>
          <w:rFonts w:ascii="Arial" w:cs="Arial" w:eastAsia="Arial" w:hAnsi="Arial"/>
          <w:sz w:val="18"/>
          <w:szCs w:val="18"/>
          <w:b w:val="1"/>
          <w:bCs w:val="1"/>
          <w:color w:val="auto"/>
        </w:rPr>
        <w:t>Einleger</w:t>
      </w:r>
      <w:r>
        <w:rPr>
          <w:rFonts w:ascii="Arial" w:cs="Arial" w:eastAsia="Arial" w:hAnsi="Arial"/>
          <w:sz w:val="18"/>
          <w:szCs w:val="18"/>
          <w:color w:val="auto"/>
        </w:rPr>
        <w:t xml:space="preserve">), handelnd im eigenen Namen aber auf Rechnung der Ocean Rig Aktionäre, insgesamt 91'579'982 Stammaktien mit einem Nennwert von je USD 0.0001 der Transocean Oceanus Holdings Limited (je eine </w:t>
      </w:r>
      <w:r>
        <w:rPr>
          <w:rFonts w:ascii="Arial" w:cs="Arial" w:eastAsia="Arial" w:hAnsi="Arial"/>
          <w:sz w:val="18"/>
          <w:szCs w:val="18"/>
          <w:b w:val="1"/>
          <w:bCs w:val="1"/>
          <w:color w:val="auto"/>
        </w:rPr>
        <w:t>HoldCo Aktie</w:t>
      </w:r>
      <w:r>
        <w:rPr>
          <w:rFonts w:ascii="Arial" w:cs="Arial" w:eastAsia="Arial" w:hAnsi="Arial"/>
          <w:sz w:val="18"/>
          <w:szCs w:val="18"/>
          <w:color w:val="auto"/>
        </w:rPr>
        <w:t xml:space="preserve"> und gemeinsam die </w:t>
      </w:r>
      <w:r>
        <w:rPr>
          <w:rFonts w:ascii="Arial" w:cs="Arial" w:eastAsia="Arial" w:hAnsi="Arial"/>
          <w:sz w:val="18"/>
          <w:szCs w:val="18"/>
          <w:b w:val="1"/>
          <w:bCs w:val="1"/>
          <w:color w:val="auto"/>
        </w:rPr>
        <w:t>HoldCo Aktien</w:t>
      </w:r>
      <w:r>
        <w:rPr>
          <w:rFonts w:ascii="Arial" w:cs="Arial" w:eastAsia="Arial" w:hAnsi="Arial"/>
          <w:sz w:val="18"/>
          <w:szCs w:val="18"/>
          <w:color w:val="auto"/>
        </w:rPr>
        <w:t>), einer nach dem Recht</w:t>
      </w:r>
      <w:r>
        <w:rPr>
          <w:rFonts w:ascii="Arial" w:cs="Arial" w:eastAsia="Arial" w:hAnsi="Arial"/>
          <w:sz w:val="18"/>
          <w:szCs w:val="18"/>
          <w:b w:val="1"/>
          <w:bCs w:val="1"/>
          <w:color w:val="auto"/>
        </w:rPr>
        <w:t xml:space="preserve"> </w:t>
      </w:r>
      <w:r>
        <w:rPr>
          <w:rFonts w:ascii="Arial" w:cs="Arial" w:eastAsia="Arial" w:hAnsi="Arial"/>
          <w:sz w:val="18"/>
          <w:szCs w:val="18"/>
          <w:color w:val="auto"/>
        </w:rPr>
        <w:t>der Kaimaninseln organisierten Gesellschaft, wobei diese Anzahl HoldCo Aktien wertmässig 91'473'703 Kategorie A Aktien von Ocean Rig mit einem Nominalwert von je USD 0.01 und 106'279 Kategorie B Aktien von Ocean Rig mit einem Nominalwert von je</w:t>
      </w:r>
    </w:p>
    <w:p>
      <w:pPr>
        <w:spacing w:after="0" w:line="11" w:lineRule="exact"/>
        <w:rPr>
          <w:rFonts w:ascii="Arial" w:cs="Arial" w:eastAsia="Arial" w:hAnsi="Arial"/>
          <w:sz w:val="18"/>
          <w:szCs w:val="18"/>
          <w:color w:val="auto"/>
        </w:rPr>
      </w:pPr>
    </w:p>
    <w:p>
      <w:pPr>
        <w:ind w:left="234"/>
        <w:spacing w:after="0" w:line="236" w:lineRule="auto"/>
        <w:rPr>
          <w:rFonts w:ascii="Arial" w:cs="Arial" w:eastAsia="Arial" w:hAnsi="Arial"/>
          <w:sz w:val="18"/>
          <w:szCs w:val="18"/>
          <w:color w:val="auto"/>
        </w:rPr>
      </w:pPr>
      <w:r>
        <w:rPr>
          <w:rFonts w:ascii="Arial" w:cs="Arial" w:eastAsia="Arial" w:hAnsi="Arial"/>
          <w:sz w:val="18"/>
          <w:szCs w:val="18"/>
          <w:color w:val="auto"/>
        </w:rPr>
        <w:t xml:space="preserve">USD 0.01 (je eine </w:t>
      </w:r>
      <w:r>
        <w:rPr>
          <w:rFonts w:ascii="Arial" w:cs="Arial" w:eastAsia="Arial" w:hAnsi="Arial"/>
          <w:sz w:val="18"/>
          <w:szCs w:val="18"/>
          <w:b w:val="1"/>
          <w:bCs w:val="1"/>
          <w:color w:val="auto"/>
        </w:rPr>
        <w:t>Ocean Rig Aktie</w:t>
      </w:r>
      <w:r>
        <w:rPr>
          <w:rFonts w:ascii="Arial" w:cs="Arial" w:eastAsia="Arial" w:hAnsi="Arial"/>
          <w:sz w:val="18"/>
          <w:szCs w:val="18"/>
          <w:color w:val="auto"/>
        </w:rPr>
        <w:t xml:space="preserve"> und gemeinsam die </w:t>
      </w:r>
      <w:r>
        <w:rPr>
          <w:rFonts w:ascii="Arial" w:cs="Arial" w:eastAsia="Arial" w:hAnsi="Arial"/>
          <w:sz w:val="18"/>
          <w:szCs w:val="18"/>
          <w:b w:val="1"/>
          <w:bCs w:val="1"/>
          <w:color w:val="auto"/>
        </w:rPr>
        <w:t>Ocean Rig Aktien</w:t>
      </w:r>
      <w:r>
        <w:rPr>
          <w:rFonts w:ascii="Arial" w:cs="Arial" w:eastAsia="Arial" w:hAnsi="Arial"/>
          <w:sz w:val="18"/>
          <w:szCs w:val="18"/>
          <w:color w:val="auto"/>
        </w:rPr>
        <w:t>) entsprechen. Jede HoldCo Aktien wird zu einem Übernahmewert von USD 29.05 (gerundet) und alle HoldCo Aktien gesamthaft zu einem Übernahmewert von USD 2'660'331'074.23 übernommen. Die HoldCo Aktien wurden vom Einleger, handelnd im eigenen Namen aber auf Rechnung der Ocean Rig Aktionäre, mittels gemischter Sacheinlage/Sachübernahme nach den Bestimmungen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4"/>
          <w:szCs w:val="14"/>
          <w:color w:val="auto"/>
        </w:rPr>
        <w:t>Mixed</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Contribution</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in Kind and</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Acquisition</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of Assets in</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Connection</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with the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Acquisition</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of Ocean</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Rig UDW</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-3184525</wp:posOffset>
            </wp:positionH>
            <wp:positionV relativeFrom="paragraph">
              <wp:posOffset>4386580</wp:posOffset>
            </wp:positionV>
            <wp:extent cx="629221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237"/>
        <w:spacing w:after="0"/>
        <w:rPr>
          <w:sz w:val="20"/>
          <w:szCs w:val="20"/>
          <w:color w:val="auto"/>
        </w:rPr>
      </w:pPr>
      <w:r>
        <w:rPr>
          <w:rFonts w:ascii="Arial" w:cs="Arial" w:eastAsia="Arial" w:hAnsi="Arial"/>
          <w:sz w:val="18"/>
          <w:szCs w:val="18"/>
          <w:b w:val="1"/>
          <w:bCs w:val="1"/>
          <w:color w:val="auto"/>
        </w:rPr>
        <w:t>Article 36</w:t>
      </w:r>
      <w:r>
        <w:rPr>
          <w:rFonts w:ascii="Arial" w:cs="Arial" w:eastAsia="Arial" w:hAnsi="Arial"/>
          <w:sz w:val="26"/>
          <w:szCs w:val="26"/>
          <w:b w:val="1"/>
          <w:bCs w:val="1"/>
          <w:color w:val="auto"/>
          <w:vertAlign w:val="superscript"/>
        </w:rPr>
        <w:t>quater</w:t>
      </w:r>
    </w:p>
    <w:p>
      <w:pPr>
        <w:spacing w:after="0" w:line="349" w:lineRule="exact"/>
        <w:rPr>
          <w:sz w:val="20"/>
          <w:szCs w:val="20"/>
          <w:color w:val="auto"/>
        </w:rPr>
      </w:pPr>
    </w:p>
    <w:p>
      <w:pPr>
        <w:ind w:left="237" w:hanging="237"/>
        <w:spacing w:after="0" w:line="233" w:lineRule="auto"/>
        <w:tabs>
          <w:tab w:leader="none" w:pos="237" w:val="left"/>
        </w:tabs>
        <w:numPr>
          <w:ilvl w:val="0"/>
          <w:numId w:val="218"/>
        </w:numPr>
        <w:rPr>
          <w:rFonts w:ascii="Arial" w:cs="Arial" w:eastAsia="Arial" w:hAnsi="Arial"/>
          <w:sz w:val="18"/>
          <w:szCs w:val="18"/>
          <w:color w:val="auto"/>
        </w:rPr>
      </w:pPr>
      <w:r>
        <w:rPr>
          <w:rFonts w:ascii="Arial" w:cs="Arial" w:eastAsia="Arial" w:hAnsi="Arial"/>
          <w:sz w:val="18"/>
          <w:szCs w:val="18"/>
          <w:color w:val="auto"/>
        </w:rPr>
        <w:t>The Company acquires in the increase in share capital out of the authorized share capital pursuant to Article 5</w:t>
      </w:r>
      <w:r>
        <w:rPr>
          <w:rFonts w:ascii="Arial" w:cs="Arial" w:eastAsia="Arial" w:hAnsi="Arial"/>
          <w:sz w:val="26"/>
          <w:szCs w:val="26"/>
          <w:color w:val="auto"/>
          <w:vertAlign w:val="superscript"/>
        </w:rPr>
        <w:t>ter</w:t>
      </w:r>
      <w:r>
        <w:rPr>
          <w:rFonts w:ascii="Arial" w:cs="Arial" w:eastAsia="Arial" w:hAnsi="Arial"/>
          <w:sz w:val="18"/>
          <w:szCs w:val="18"/>
          <w:color w:val="auto"/>
        </w:rPr>
        <w:t xml:space="preserve"> of the Articles of Association of November 30, 2018, in connection with the indirect acquisition of Ocean Rig UDW Inc., a company organized under the laws of the Cayman Islands (</w:t>
      </w:r>
      <w:r>
        <w:rPr>
          <w:rFonts w:ascii="Arial" w:cs="Arial" w:eastAsia="Arial" w:hAnsi="Arial"/>
          <w:sz w:val="18"/>
          <w:szCs w:val="18"/>
          <w:b w:val="1"/>
          <w:bCs w:val="1"/>
          <w:color w:val="auto"/>
        </w:rPr>
        <w:t>Ocean Rig</w:t>
      </w:r>
      <w:r>
        <w:rPr>
          <w:rFonts w:ascii="Arial" w:cs="Arial" w:eastAsia="Arial" w:hAnsi="Arial"/>
          <w:sz w:val="18"/>
          <w:szCs w:val="18"/>
          <w:color w:val="auto"/>
        </w:rPr>
        <w:t xml:space="preserve">), by way of a merger according to the laws of the Cayman Islands from Computershare Trust Company, a company organized under the laws of the state of Delaware (the </w:t>
      </w:r>
      <w:r>
        <w:rPr>
          <w:rFonts w:ascii="Arial" w:cs="Arial" w:eastAsia="Arial" w:hAnsi="Arial"/>
          <w:sz w:val="18"/>
          <w:szCs w:val="18"/>
          <w:b w:val="1"/>
          <w:bCs w:val="1"/>
          <w:color w:val="auto"/>
        </w:rPr>
        <w:t>Contributor</w:t>
      </w:r>
      <w:r>
        <w:rPr>
          <w:rFonts w:ascii="Arial" w:cs="Arial" w:eastAsia="Arial" w:hAnsi="Arial"/>
          <w:sz w:val="18"/>
          <w:szCs w:val="18"/>
          <w:color w:val="auto"/>
        </w:rPr>
        <w:t xml:space="preserve">), acting on its own name but on account of the Ocean Rig Shareholders, in the aggregate 91,579,982 common shares of Transocean Oceanus Holdings Limited with a nominal value of each USD 0.0001 (each </w:t>
      </w:r>
      <w:r>
        <w:rPr>
          <w:rFonts w:ascii="Arial" w:cs="Arial" w:eastAsia="Arial" w:hAnsi="Arial"/>
          <w:sz w:val="18"/>
          <w:szCs w:val="18"/>
          <w:b w:val="1"/>
          <w:bCs w:val="1"/>
          <w:color w:val="auto"/>
        </w:rPr>
        <w:t>HoldCo Share</w:t>
      </w:r>
      <w:r>
        <w:rPr>
          <w:rFonts w:ascii="Arial" w:cs="Arial" w:eastAsia="Arial" w:hAnsi="Arial"/>
          <w:sz w:val="18"/>
          <w:szCs w:val="18"/>
          <w:color w:val="auto"/>
        </w:rPr>
        <w:t xml:space="preserve"> and collectively the </w:t>
      </w:r>
      <w:r>
        <w:rPr>
          <w:rFonts w:ascii="Arial" w:cs="Arial" w:eastAsia="Arial" w:hAnsi="Arial"/>
          <w:sz w:val="18"/>
          <w:szCs w:val="18"/>
          <w:b w:val="1"/>
          <w:bCs w:val="1"/>
          <w:color w:val="auto"/>
        </w:rPr>
        <w:t>HoldCo Shares</w:t>
      </w:r>
      <w:r>
        <w:rPr>
          <w:rFonts w:ascii="Arial" w:cs="Arial" w:eastAsia="Arial" w:hAnsi="Arial"/>
          <w:sz w:val="18"/>
          <w:szCs w:val="18"/>
          <w:color w:val="auto"/>
        </w:rPr>
        <w:t>), a company organized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under the laws of the Cayman Islands, whereby such number of HoldCo Shares corresponds in their value to 91,473,703 class A shares of Ocean Rig with a nominal value of each USD 0.01 and 106,279 class B shares of Ocean Rig with a nominal value of each USD 0.01 (each an </w:t>
      </w:r>
      <w:r>
        <w:rPr>
          <w:rFonts w:ascii="Arial" w:cs="Arial" w:eastAsia="Arial" w:hAnsi="Arial"/>
          <w:sz w:val="18"/>
          <w:szCs w:val="18"/>
          <w:b w:val="1"/>
          <w:bCs w:val="1"/>
          <w:color w:val="auto"/>
        </w:rPr>
        <w:t>Ocean Rig Share</w:t>
      </w:r>
      <w:r>
        <w:rPr>
          <w:rFonts w:ascii="Arial" w:cs="Arial" w:eastAsia="Arial" w:hAnsi="Arial"/>
          <w:sz w:val="18"/>
          <w:szCs w:val="18"/>
          <w:color w:val="auto"/>
        </w:rPr>
        <w:t xml:space="preserve"> and collectively the </w:t>
      </w:r>
      <w:r>
        <w:rPr>
          <w:rFonts w:ascii="Arial" w:cs="Arial" w:eastAsia="Arial" w:hAnsi="Arial"/>
          <w:sz w:val="18"/>
          <w:szCs w:val="18"/>
          <w:b w:val="1"/>
          <w:bCs w:val="1"/>
          <w:color w:val="auto"/>
        </w:rPr>
        <w:t>Ocean Rig Shares</w:t>
      </w:r>
      <w:r>
        <w:rPr>
          <w:rFonts w:ascii="Arial" w:cs="Arial" w:eastAsia="Arial" w:hAnsi="Arial"/>
          <w:sz w:val="18"/>
          <w:szCs w:val="18"/>
          <w:color w:val="auto"/>
        </w:rPr>
        <w:t>). Each HoldCo Shares is acquired for a contribution value of USD 29.05 (rounded) and all HoldCo Shares, in the aggregate, are acquired for a contribution value of USD 2,660,331,074.23. The HoldCo Shares are contributed by the Contributor, acting in its own name but for the account of the Ocean Rig Shareholders, by way of a mixed contribution in kind / acquisition of assets pursuant</w:t>
      </w:r>
    </w:p>
    <w:p>
      <w:pPr>
        <w:sectPr>
          <w:pgSz w:w="11900" w:h="16838" w:orient="portrait"/>
          <w:cols w:equalWidth="0" w:num="4">
            <w:col w:w="1040" w:space="126"/>
            <w:col w:w="3574" w:space="140"/>
            <w:col w:w="780" w:space="123"/>
            <w:col w:w="3557"/>
          </w:cols>
          <w:pgMar w:left="1220" w:top="670" w:right="1339" w:bottom="1440" w:gutter="0" w:footer="0" w:header="0"/>
          <w:type w:val="continuous"/>
        </w:sectPr>
      </w:pPr>
    </w:p>
    <w:bookmarkStart w:id="60" w:name="page61"/>
    <w:bookmarkEnd w:id="60"/>
    <w:p>
      <w:pPr>
        <w:jc w:val="right"/>
        <w:spacing w:after="0"/>
        <w:rPr>
          <w:sz w:val="20"/>
          <w:szCs w:val="20"/>
          <w:color w:val="auto"/>
        </w:rPr>
      </w:pPr>
      <w:r>
        <w:rPr>
          <w:rFonts w:ascii="Arial" w:cs="Arial" w:eastAsia="Arial" w:hAnsi="Arial"/>
          <w:sz w:val="14"/>
          <w:szCs w:val="14"/>
          <w:color w:val="auto"/>
        </w:rPr>
        <w:t>- 53 -</w:t>
      </w:r>
    </w:p>
    <w:p>
      <w:pPr>
        <w:spacing w:after="0" w:line="200" w:lineRule="exact"/>
        <w:rPr>
          <w:sz w:val="20"/>
          <w:szCs w:val="20"/>
          <w:color w:val="auto"/>
        </w:rPr>
      </w:pPr>
    </w:p>
    <w:p>
      <w:pPr>
        <w:spacing w:after="0" w:line="39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des Sacheinlage- und</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Sachübernahmevertrages vom</w:t>
      </w:r>
    </w:p>
    <w:p>
      <w:pPr>
        <w:ind w:left="980" w:right="340" w:firstLine="6"/>
        <w:spacing w:after="0" w:line="234" w:lineRule="auto"/>
        <w:tabs>
          <w:tab w:leader="none" w:pos="128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 xml:space="preserve">November 2018 eingelegt, wofür die Gesellschaft (i) 147'700'187 neue Namenaktien mit einem Nennwert von je CHF 0.10 (je eine </w:t>
      </w:r>
      <w:r>
        <w:rPr>
          <w:rFonts w:ascii="Arial" w:cs="Arial" w:eastAsia="Arial" w:hAnsi="Arial"/>
          <w:sz w:val="18"/>
          <w:szCs w:val="18"/>
          <w:b w:val="1"/>
          <w:bCs w:val="1"/>
          <w:color w:val="auto"/>
        </w:rPr>
        <w:t>Aktie</w:t>
      </w:r>
      <w:r>
        <w:rPr>
          <w:rFonts w:ascii="Arial" w:cs="Arial" w:eastAsia="Arial" w:hAnsi="Arial"/>
          <w:sz w:val="18"/>
          <w:szCs w:val="18"/>
          <w:color w:val="auto"/>
        </w:rPr>
        <w:t xml:space="preserve"> und gemeinsam die </w:t>
      </w:r>
      <w:r>
        <w:rPr>
          <w:rFonts w:ascii="Arial" w:cs="Arial" w:eastAsia="Arial" w:hAnsi="Arial"/>
          <w:sz w:val="18"/>
          <w:szCs w:val="18"/>
          <w:b w:val="1"/>
          <w:bCs w:val="1"/>
          <w:color w:val="auto"/>
        </w:rPr>
        <w:t>Aktien</w:t>
      </w:r>
      <w:r>
        <w:rPr>
          <w:rFonts w:ascii="Arial" w:cs="Arial" w:eastAsia="Arial" w:hAnsi="Arial"/>
          <w:sz w:val="18"/>
          <w:szCs w:val="18"/>
          <w:color w:val="auto"/>
        </w:rPr>
        <w:t xml:space="preserve">) zu einem Ausgabepreis von je USD 10.11 (gerundet) und gesamthaft für die Aktien USD 1'492'686'207.22 an den Einleger zugunsten der Ocean Aktionäre ausgegeben hat, entsprechend einem Umtauschverhältnis von 1.6128 Aktien für jede eingelegte HoldCo Aktie (das </w:t>
      </w:r>
      <w:r>
        <w:rPr>
          <w:rFonts w:ascii="Arial" w:cs="Arial" w:eastAsia="Arial" w:hAnsi="Arial"/>
          <w:sz w:val="18"/>
          <w:szCs w:val="18"/>
          <w:b w:val="1"/>
          <w:bCs w:val="1"/>
          <w:color w:val="auto"/>
        </w:rPr>
        <w:t>Umtauschverhältnis</w:t>
      </w:r>
      <w:r>
        <w:rPr>
          <w:rFonts w:ascii="Arial" w:cs="Arial" w:eastAsia="Arial" w:hAnsi="Arial"/>
          <w:sz w:val="18"/>
          <w:szCs w:val="18"/>
          <w:color w:val="auto"/>
        </w:rPr>
        <w:t>), wobei entstehende</w:t>
      </w:r>
      <w:r>
        <w:rPr>
          <w:rFonts w:ascii="Arial" w:cs="Arial" w:eastAsia="Arial" w:hAnsi="Arial"/>
          <w:sz w:val="18"/>
          <w:szCs w:val="18"/>
          <w:b w:val="1"/>
          <w:bCs w:val="1"/>
          <w:color w:val="auto"/>
        </w:rPr>
        <w:t xml:space="preserve"> </w:t>
      </w:r>
      <w:r>
        <w:rPr>
          <w:rFonts w:ascii="Arial" w:cs="Arial" w:eastAsia="Arial" w:hAnsi="Arial"/>
          <w:sz w:val="18"/>
          <w:szCs w:val="18"/>
          <w:color w:val="auto"/>
        </w:rPr>
        <w:t>Fraktionen von Aktien auf die nächste ganze Anzahl Aktien abgerundet und in bar (siehe (ii)(B) nachstehend) abgegolten werden, und (ii) Barzahlungen an den Einleger zugunsten der Ocean Rig Aktionäre im Umfang von (A) USD 12.75 je HoldCo Aktie und gesamthaft</w:t>
      </w:r>
    </w:p>
    <w:p>
      <w:pPr>
        <w:spacing w:after="0" w:line="13" w:lineRule="exact"/>
        <w:rPr>
          <w:rFonts w:ascii="Arial" w:cs="Arial" w:eastAsia="Arial" w:hAnsi="Arial"/>
          <w:sz w:val="18"/>
          <w:szCs w:val="18"/>
          <w:color w:val="auto"/>
        </w:rPr>
      </w:pPr>
    </w:p>
    <w:p>
      <w:pPr>
        <w:ind w:left="980" w:right="360"/>
        <w:spacing w:after="0" w:line="234" w:lineRule="auto"/>
        <w:rPr>
          <w:rFonts w:ascii="Arial" w:cs="Arial" w:eastAsia="Arial" w:hAnsi="Arial"/>
          <w:sz w:val="18"/>
          <w:szCs w:val="18"/>
          <w:color w:val="auto"/>
        </w:rPr>
      </w:pPr>
      <w:r>
        <w:rPr>
          <w:rFonts w:ascii="Arial" w:cs="Arial" w:eastAsia="Arial" w:hAnsi="Arial"/>
          <w:sz w:val="18"/>
          <w:szCs w:val="18"/>
          <w:color w:val="auto"/>
        </w:rPr>
        <w:t xml:space="preserve">USD 1'167'644'770.50 für alle eingelegten HoldCo Aktien (die </w:t>
      </w:r>
      <w:r>
        <w:rPr>
          <w:rFonts w:ascii="Arial" w:cs="Arial" w:eastAsia="Arial" w:hAnsi="Arial"/>
          <w:sz w:val="18"/>
          <w:szCs w:val="18"/>
          <w:b w:val="1"/>
          <w:bCs w:val="1"/>
          <w:color w:val="auto"/>
        </w:rPr>
        <w:t>Barentschädigung</w:t>
      </w:r>
      <w:r>
        <w:rPr>
          <w:rFonts w:ascii="Arial" w:cs="Arial" w:eastAsia="Arial" w:hAnsi="Arial"/>
          <w:sz w:val="18"/>
          <w:szCs w:val="18"/>
          <w:color w:val="auto"/>
        </w:rPr>
        <w:t xml:space="preserve">) und (B) gesamthaft USD 96.51 zur Entschädigung der durch das Umtauschverhältnis und die Aktionärsstruktur von Ocean Rig entstandenen Fraktionen von Aktien (die </w:t>
      </w:r>
      <w:r>
        <w:rPr>
          <w:rFonts w:ascii="Arial" w:cs="Arial" w:eastAsia="Arial" w:hAnsi="Arial"/>
          <w:sz w:val="18"/>
          <w:szCs w:val="18"/>
          <w:b w:val="1"/>
          <w:bCs w:val="1"/>
          <w:color w:val="auto"/>
        </w:rPr>
        <w:t>Fraktionen-Entschädigung</w:t>
      </w:r>
      <w:r>
        <w:rPr>
          <w:rFonts w:ascii="Arial" w:cs="Arial" w:eastAsia="Arial" w:hAnsi="Arial"/>
          <w:sz w:val="18"/>
          <w:szCs w:val="18"/>
          <w:color w:val="auto"/>
        </w:rPr>
        <w:t>) geleistet hat.</w:t>
      </w:r>
      <w:r>
        <w:rPr>
          <w:rFonts w:ascii="Arial" w:cs="Arial" w:eastAsia="Arial" w:hAnsi="Arial"/>
          <w:sz w:val="18"/>
          <w:szCs w:val="18"/>
          <w:b w:val="1"/>
          <w:bCs w:val="1"/>
          <w:color w:val="auto"/>
        </w:rPr>
        <w:t xml:space="preserve"> </w:t>
      </w:r>
      <w:r>
        <w:rPr>
          <w:rFonts w:ascii="Arial" w:cs="Arial" w:eastAsia="Arial" w:hAnsi="Arial"/>
          <w:sz w:val="18"/>
          <w:szCs w:val="18"/>
          <w:color w:val="auto"/>
        </w:rPr>
        <w:t>Die Gesellschaft weist die Differenz zwischen (x) dem gesamten Wert der eingelegten HoldCo Aktien im Betrag von USD 2'660'331'074.23 und (y)(1) dem Gesamtnennwert der neu ausgegebenen Aktien im Betrag von CHF 14'770'018.70,</w:t>
      </w:r>
    </w:p>
    <w:p>
      <w:pPr>
        <w:spacing w:after="0" w:line="9" w:lineRule="exact"/>
        <w:rPr>
          <w:rFonts w:ascii="Arial" w:cs="Arial" w:eastAsia="Arial" w:hAnsi="Arial"/>
          <w:sz w:val="18"/>
          <w:szCs w:val="18"/>
          <w:color w:val="auto"/>
        </w:rPr>
      </w:pPr>
    </w:p>
    <w:p>
      <w:pPr>
        <w:ind w:left="980" w:right="820"/>
        <w:spacing w:after="0"/>
        <w:rPr>
          <w:rFonts w:ascii="Arial" w:cs="Arial" w:eastAsia="Arial" w:hAnsi="Arial"/>
          <w:sz w:val="18"/>
          <w:szCs w:val="18"/>
          <w:color w:val="auto"/>
        </w:rPr>
      </w:pPr>
      <w:r>
        <w:rPr>
          <w:rFonts w:ascii="Arial" w:cs="Arial" w:eastAsia="Arial" w:hAnsi="Arial"/>
          <w:sz w:val="18"/>
          <w:szCs w:val="18"/>
          <w:color w:val="auto"/>
        </w:rPr>
        <w:t>(2) der Barentschädigung und (3) der Fraktionen-Entschädigung den Kapitaleinlagereserven (</w:t>
      </w:r>
      <w:r>
        <w:rPr>
          <w:rFonts w:ascii="Arial" w:cs="Arial" w:eastAsia="Arial" w:hAnsi="Arial"/>
          <w:sz w:val="18"/>
          <w:szCs w:val="18"/>
          <w:i w:val="1"/>
          <w:iCs w:val="1"/>
          <w:color w:val="auto"/>
        </w:rPr>
        <w:t>Agio</w:t>
      </w:r>
      <w:r>
        <w:rPr>
          <w:rFonts w:ascii="Arial" w:cs="Arial" w:eastAsia="Arial" w:hAnsi="Arial"/>
          <w:sz w:val="18"/>
          <w:szCs w:val="18"/>
          <w:color w:val="auto"/>
        </w:rPr>
        <w:t>) der Gesellschaft zu.</w:t>
      </w:r>
    </w:p>
    <w:p>
      <w:pPr>
        <w:spacing w:after="0" w:line="72" w:lineRule="exact"/>
        <w:rPr>
          <w:sz w:val="20"/>
          <w:szCs w:val="20"/>
          <w:color w:val="auto"/>
        </w:rPr>
      </w:pPr>
    </w:p>
    <w:p>
      <w:pPr>
        <w:ind w:left="980" w:right="380" w:hanging="223"/>
        <w:spacing w:after="0" w:line="228" w:lineRule="auto"/>
        <w:tabs>
          <w:tab w:leader="none" w:pos="98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Zum Zwecke dieses Artikels 36</w:t>
      </w:r>
      <w:r>
        <w:rPr>
          <w:rFonts w:ascii="Arial" w:cs="Arial" w:eastAsia="Arial" w:hAnsi="Arial"/>
          <w:sz w:val="26"/>
          <w:szCs w:val="26"/>
          <w:color w:val="auto"/>
          <w:vertAlign w:val="superscript"/>
        </w:rPr>
        <w:t>ter</w:t>
      </w:r>
      <w:r>
        <w:rPr>
          <w:rFonts w:ascii="Arial" w:cs="Arial" w:eastAsia="Arial" w:hAnsi="Arial"/>
          <w:sz w:val="18"/>
          <w:szCs w:val="18"/>
          <w:color w:val="auto"/>
        </w:rPr>
        <w:t xml:space="preserve"> bedeutet </w:t>
      </w:r>
      <w:r>
        <w:rPr>
          <w:rFonts w:ascii="Arial" w:cs="Arial" w:eastAsia="Arial" w:hAnsi="Arial"/>
          <w:sz w:val="18"/>
          <w:szCs w:val="18"/>
          <w:b w:val="1"/>
          <w:bCs w:val="1"/>
          <w:color w:val="auto"/>
        </w:rPr>
        <w:t xml:space="preserve">Ocean Rig Aktionär(e) </w:t>
      </w:r>
      <w:r>
        <w:rPr>
          <w:rFonts w:ascii="Arial" w:cs="Arial" w:eastAsia="Arial" w:hAnsi="Arial"/>
          <w:sz w:val="18"/>
          <w:szCs w:val="18"/>
          <w:color w:val="auto"/>
        </w:rPr>
        <w:t>die Inhaber der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unmittelbar vor dem Datum und Zeitpunkt der Eintragung der neuen Aktien im Tagesregister des Handelsregisters des Kantons Zug (der </w:t>
      </w:r>
      <w:r>
        <w:rPr>
          <w:rFonts w:ascii="Arial" w:cs="Arial" w:eastAsia="Arial" w:hAnsi="Arial"/>
          <w:sz w:val="18"/>
          <w:szCs w:val="18"/>
          <w:b w:val="1"/>
          <w:bCs w:val="1"/>
          <w:color w:val="auto"/>
        </w:rPr>
        <w:t>Wirksamkeitszeitpunkt</w:t>
      </w:r>
      <w:r>
        <w:rPr>
          <w:rFonts w:ascii="Arial" w:cs="Arial" w:eastAsia="Arial" w:hAnsi="Arial"/>
          <w:sz w:val="18"/>
          <w:szCs w:val="18"/>
          <w:color w:val="auto"/>
        </w:rPr>
        <w:t>) ausgegebenen</w:t>
      </w:r>
      <w:r>
        <w:rPr>
          <w:rFonts w:ascii="Arial" w:cs="Arial" w:eastAsia="Arial" w:hAnsi="Arial"/>
          <w:sz w:val="18"/>
          <w:szCs w:val="18"/>
          <w:b w:val="1"/>
          <w:bCs w:val="1"/>
          <w:color w:val="auto"/>
        </w:rPr>
        <w:t xml:space="preserve"> </w:t>
      </w:r>
      <w:r>
        <w:rPr>
          <w:rFonts w:ascii="Arial" w:cs="Arial" w:eastAsia="Arial" w:hAnsi="Arial"/>
          <w:sz w:val="18"/>
          <w:szCs w:val="18"/>
          <w:color w:val="auto"/>
        </w:rPr>
        <w:t>und ausstehenden 91'579'982 Ocean Rig Aktien.</w:t>
      </w:r>
    </w:p>
    <w:p>
      <w:pPr>
        <w:spacing w:after="0" w:line="73"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b w:val="1"/>
          <w:bCs w:val="1"/>
          <w:color w:val="auto"/>
        </w:rPr>
        <w:t>Artikel 36</w:t>
      </w:r>
      <w:r>
        <w:rPr>
          <w:rFonts w:ascii="Arial" w:cs="Arial" w:eastAsia="Arial" w:hAnsi="Arial"/>
          <w:sz w:val="26"/>
          <w:szCs w:val="26"/>
          <w:b w:val="1"/>
          <w:bCs w:val="1"/>
          <w:color w:val="auto"/>
          <w:vertAlign w:val="superscript"/>
        </w:rPr>
        <w:t>quinquies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-225425</wp:posOffset>
            </wp:positionH>
            <wp:positionV relativeFrom="paragraph">
              <wp:posOffset>405130</wp:posOffset>
            </wp:positionV>
            <wp:extent cx="629221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232" w:right="120"/>
        <w:spacing w:after="0" w:line="236" w:lineRule="auto"/>
        <w:rPr>
          <w:sz w:val="20"/>
          <w:szCs w:val="20"/>
          <w:color w:val="auto"/>
        </w:rPr>
      </w:pPr>
      <w:r>
        <w:rPr>
          <w:rFonts w:ascii="Arial" w:cs="Arial" w:eastAsia="Arial" w:hAnsi="Arial"/>
          <w:sz w:val="18"/>
          <w:szCs w:val="18"/>
          <w:color w:val="auto"/>
        </w:rPr>
        <w:t xml:space="preserve">to the terms and conditions of the contribution in kind and acquisition of assets agreement dated as of November 29, 2018, for which the Company has (i) issued to the Exchange Agent in favor of the Ocean Rig Shareholders 147,700,187 new registered shares with a nominal value of CHF 0.10 each (each a </w:t>
      </w:r>
      <w:r>
        <w:rPr>
          <w:rFonts w:ascii="Arial" w:cs="Arial" w:eastAsia="Arial" w:hAnsi="Arial"/>
          <w:sz w:val="18"/>
          <w:szCs w:val="18"/>
          <w:b w:val="1"/>
          <w:bCs w:val="1"/>
          <w:color w:val="auto"/>
        </w:rPr>
        <w:t>Share</w:t>
      </w:r>
      <w:r>
        <w:rPr>
          <w:rFonts w:ascii="Arial" w:cs="Arial" w:eastAsia="Arial" w:hAnsi="Arial"/>
          <w:sz w:val="18"/>
          <w:szCs w:val="18"/>
          <w:color w:val="auto"/>
        </w:rPr>
        <w:t xml:space="preserve"> and collectively the </w:t>
      </w:r>
      <w:r>
        <w:rPr>
          <w:rFonts w:ascii="Arial" w:cs="Arial" w:eastAsia="Arial" w:hAnsi="Arial"/>
          <w:sz w:val="18"/>
          <w:szCs w:val="18"/>
          <w:b w:val="1"/>
          <w:bCs w:val="1"/>
          <w:color w:val="auto"/>
        </w:rPr>
        <w:t>Shares</w:t>
      </w:r>
      <w:r>
        <w:rPr>
          <w:rFonts w:ascii="Arial" w:cs="Arial" w:eastAsia="Arial" w:hAnsi="Arial"/>
          <w:sz w:val="18"/>
          <w:szCs w:val="18"/>
          <w:color w:val="auto"/>
        </w:rPr>
        <w:t>) at an issue price of USD 10.11</w:t>
      </w:r>
      <w:r>
        <w:rPr>
          <w:rFonts w:ascii="Arial" w:cs="Arial" w:eastAsia="Arial" w:hAnsi="Arial"/>
          <w:sz w:val="18"/>
          <w:szCs w:val="18"/>
          <w:b w:val="1"/>
          <w:bCs w:val="1"/>
          <w:color w:val="auto"/>
        </w:rPr>
        <w:t xml:space="preserve"> </w:t>
      </w:r>
      <w:r>
        <w:rPr>
          <w:rFonts w:ascii="Arial" w:cs="Arial" w:eastAsia="Arial" w:hAnsi="Arial"/>
          <w:sz w:val="18"/>
          <w:szCs w:val="18"/>
          <w:color w:val="auto"/>
        </w:rPr>
        <w:t>(rounded) each and in the aggregate for the Shares USD 1,492,686,207.22, corresponding to an exchange ratio of</w:t>
      </w:r>
    </w:p>
    <w:p>
      <w:pPr>
        <w:spacing w:after="0" w:line="5" w:lineRule="exact"/>
        <w:rPr>
          <w:sz w:val="20"/>
          <w:szCs w:val="20"/>
          <w:color w:val="auto"/>
        </w:rPr>
      </w:pPr>
    </w:p>
    <w:p>
      <w:pPr>
        <w:ind w:left="232"/>
        <w:spacing w:after="0" w:line="234" w:lineRule="auto"/>
        <w:rPr>
          <w:sz w:val="20"/>
          <w:szCs w:val="20"/>
          <w:color w:val="auto"/>
        </w:rPr>
      </w:pPr>
      <w:r>
        <w:rPr>
          <w:rFonts w:ascii="Arial" w:cs="Arial" w:eastAsia="Arial" w:hAnsi="Arial"/>
          <w:sz w:val="18"/>
          <w:szCs w:val="18"/>
          <w:color w:val="auto"/>
        </w:rPr>
        <w:t xml:space="preserve">1.6128 Shares for each contributed HoldCo Share (the </w:t>
      </w:r>
      <w:r>
        <w:rPr>
          <w:rFonts w:ascii="Arial" w:cs="Arial" w:eastAsia="Arial" w:hAnsi="Arial"/>
          <w:sz w:val="18"/>
          <w:szCs w:val="18"/>
          <w:b w:val="1"/>
          <w:bCs w:val="1"/>
          <w:color w:val="auto"/>
        </w:rPr>
        <w:t>Exchange Ratio</w:t>
      </w:r>
      <w:r>
        <w:rPr>
          <w:rFonts w:ascii="Arial" w:cs="Arial" w:eastAsia="Arial" w:hAnsi="Arial"/>
          <w:sz w:val="18"/>
          <w:szCs w:val="18"/>
          <w:color w:val="auto"/>
        </w:rPr>
        <w:t>), whereby resulting fractions of Shares are rounded down to the next whole number of Shares and are paid in cash (see (ii)(B) below), and (ii) paid to the Contributor in favor of the Ocean Rig Shareholders (A) cash in the amount of USD 12.75 for each HoldCo Share and, in the aggregate,</w:t>
      </w:r>
    </w:p>
    <w:p>
      <w:pPr>
        <w:spacing w:after="0" w:line="6" w:lineRule="exact"/>
        <w:rPr>
          <w:sz w:val="20"/>
          <w:szCs w:val="20"/>
          <w:color w:val="auto"/>
        </w:rPr>
      </w:pPr>
    </w:p>
    <w:p>
      <w:pPr>
        <w:ind w:left="232" w:right="20"/>
        <w:spacing w:after="0" w:line="250" w:lineRule="auto"/>
        <w:rPr>
          <w:sz w:val="20"/>
          <w:szCs w:val="20"/>
          <w:color w:val="auto"/>
        </w:rPr>
      </w:pPr>
      <w:r>
        <w:rPr>
          <w:rFonts w:ascii="Arial" w:cs="Arial" w:eastAsia="Arial" w:hAnsi="Arial"/>
          <w:sz w:val="17"/>
          <w:szCs w:val="17"/>
          <w:color w:val="auto"/>
        </w:rPr>
        <w:t xml:space="preserve">USD 1,167,644,770.50 for all contributed HoldCo Shares (the </w:t>
      </w:r>
      <w:r>
        <w:rPr>
          <w:rFonts w:ascii="Arial" w:cs="Arial" w:eastAsia="Arial" w:hAnsi="Arial"/>
          <w:sz w:val="17"/>
          <w:szCs w:val="17"/>
          <w:b w:val="1"/>
          <w:bCs w:val="1"/>
          <w:color w:val="auto"/>
        </w:rPr>
        <w:t>Cash Consideration</w:t>
      </w:r>
      <w:r>
        <w:rPr>
          <w:rFonts w:ascii="Arial" w:cs="Arial" w:eastAsia="Arial" w:hAnsi="Arial"/>
          <w:sz w:val="17"/>
          <w:szCs w:val="17"/>
          <w:color w:val="auto"/>
        </w:rPr>
        <w:t xml:space="preserve">) and (B) cash in the amount of USD 96.51 as consideration for the fractions of Shares resulting from the Exchange Ratio and the shareholder of record composition of Ocean Rig (the </w:t>
      </w:r>
      <w:r>
        <w:rPr>
          <w:rFonts w:ascii="Arial" w:cs="Arial" w:eastAsia="Arial" w:hAnsi="Arial"/>
          <w:sz w:val="17"/>
          <w:szCs w:val="17"/>
          <w:b w:val="1"/>
          <w:bCs w:val="1"/>
          <w:color w:val="auto"/>
        </w:rPr>
        <w:t>Fractions Consideration</w:t>
      </w:r>
      <w:r>
        <w:rPr>
          <w:rFonts w:ascii="Arial" w:cs="Arial" w:eastAsia="Arial" w:hAnsi="Arial"/>
          <w:sz w:val="17"/>
          <w:szCs w:val="17"/>
          <w:color w:val="auto"/>
        </w:rPr>
        <w:t>). The difference between (x) the aggregate value of the contributed HoldCo Shares in the amount of USD 2,660,331,074.23 and (y)(1) the sum of the aggregate nominal value of the newly issued Shares in the amount of CHF 14,770,018.70, (2) the Cash Consideration and (3 the Fraction Consideration is allocated to the Company's reserves of capital contribution.</w:t>
      </w:r>
    </w:p>
    <w:p>
      <w:pPr>
        <w:spacing w:after="0" w:line="275" w:lineRule="exact"/>
        <w:rPr>
          <w:sz w:val="20"/>
          <w:szCs w:val="20"/>
          <w:color w:val="auto"/>
        </w:rPr>
      </w:pPr>
    </w:p>
    <w:p>
      <w:pPr>
        <w:ind w:left="232" w:hanging="232"/>
        <w:spacing w:after="0" w:line="229" w:lineRule="auto"/>
        <w:tabs>
          <w:tab w:leader="none" w:pos="232" w:val="left"/>
        </w:tabs>
        <w:numPr>
          <w:ilvl w:val="0"/>
          <w:numId w:val="221"/>
        </w:numPr>
        <w:rPr>
          <w:rFonts w:ascii="Arial" w:cs="Arial" w:eastAsia="Arial" w:hAnsi="Arial"/>
          <w:sz w:val="18"/>
          <w:szCs w:val="18"/>
          <w:color w:val="auto"/>
        </w:rPr>
      </w:pPr>
      <w:r>
        <w:rPr>
          <w:rFonts w:ascii="Arial" w:cs="Arial" w:eastAsia="Arial" w:hAnsi="Arial"/>
          <w:sz w:val="18"/>
          <w:szCs w:val="18"/>
          <w:color w:val="auto"/>
        </w:rPr>
        <w:t>For the purpose of this article 36</w:t>
      </w:r>
      <w:r>
        <w:rPr>
          <w:rFonts w:ascii="Arial" w:cs="Arial" w:eastAsia="Arial" w:hAnsi="Arial"/>
          <w:sz w:val="26"/>
          <w:szCs w:val="26"/>
          <w:color w:val="auto"/>
          <w:vertAlign w:val="superscript"/>
        </w:rPr>
        <w:t>ter</w:t>
      </w:r>
      <w:r>
        <w:rPr>
          <w:rFonts w:ascii="Arial" w:cs="Arial" w:eastAsia="Arial" w:hAnsi="Arial"/>
          <w:sz w:val="18"/>
          <w:szCs w:val="18"/>
          <w:color w:val="auto"/>
        </w:rPr>
        <w:t xml:space="preserve"> of the Articles of Association, the term </w:t>
      </w:r>
      <w:r>
        <w:rPr>
          <w:rFonts w:ascii="Arial" w:cs="Arial" w:eastAsia="Arial" w:hAnsi="Arial"/>
          <w:sz w:val="18"/>
          <w:szCs w:val="18"/>
          <w:b w:val="1"/>
          <w:bCs w:val="1"/>
          <w:color w:val="auto"/>
        </w:rPr>
        <w:t>Ocean Rig</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Shareholder(s) </w:t>
      </w:r>
      <w:r>
        <w:rPr>
          <w:rFonts w:ascii="Arial" w:cs="Arial" w:eastAsia="Arial" w:hAnsi="Arial"/>
          <w:sz w:val="18"/>
          <w:szCs w:val="18"/>
          <w:color w:val="auto"/>
        </w:rPr>
        <w:t>means the holders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91,579,982 Ocean Rig Shares issued and outstanding immediately prior to the date and time of registration of the new Shares in the daily ledger of the commercial register of the Canton of Zug (the </w:t>
      </w:r>
      <w:r>
        <w:rPr>
          <w:rFonts w:ascii="Arial" w:cs="Arial" w:eastAsia="Arial" w:hAnsi="Arial"/>
          <w:sz w:val="18"/>
          <w:szCs w:val="18"/>
          <w:b w:val="1"/>
          <w:bCs w:val="1"/>
          <w:color w:val="auto"/>
        </w:rPr>
        <w:t>Effective</w:t>
      </w:r>
      <w:r>
        <w:rPr>
          <w:rFonts w:ascii="Arial" w:cs="Arial" w:eastAsia="Arial" w:hAnsi="Arial"/>
          <w:sz w:val="18"/>
          <w:szCs w:val="18"/>
          <w:color w:val="auto"/>
        </w:rPr>
        <w:t xml:space="preserve"> </w:t>
      </w:r>
      <w:r>
        <w:rPr>
          <w:rFonts w:ascii="Arial" w:cs="Arial" w:eastAsia="Arial" w:hAnsi="Arial"/>
          <w:sz w:val="18"/>
          <w:szCs w:val="18"/>
          <w:b w:val="1"/>
          <w:bCs w:val="1"/>
          <w:color w:val="auto"/>
        </w:rPr>
        <w:t>Time</w:t>
      </w:r>
      <w:r>
        <w:rPr>
          <w:rFonts w:ascii="Arial" w:cs="Arial" w:eastAsia="Arial" w:hAnsi="Arial"/>
          <w:sz w:val="18"/>
          <w:szCs w:val="18"/>
          <w:color w:val="auto"/>
        </w:rPr>
        <w:t>).</w:t>
      </w:r>
    </w:p>
    <w:p>
      <w:pPr>
        <w:spacing w:after="0" w:line="65" w:lineRule="exact"/>
        <w:rPr>
          <w:rFonts w:ascii="Arial" w:cs="Arial" w:eastAsia="Arial" w:hAnsi="Arial"/>
          <w:sz w:val="18"/>
          <w:szCs w:val="18"/>
          <w:color w:val="auto"/>
        </w:rPr>
      </w:pPr>
    </w:p>
    <w:p>
      <w:pPr>
        <w:ind w:left="232"/>
        <w:spacing w:after="0"/>
        <w:rPr>
          <w:rFonts w:ascii="Arial" w:cs="Arial" w:eastAsia="Arial" w:hAnsi="Arial"/>
          <w:sz w:val="18"/>
          <w:szCs w:val="18"/>
          <w:color w:val="auto"/>
        </w:rPr>
      </w:pPr>
      <w:r>
        <w:rPr>
          <w:rFonts w:ascii="Arial" w:cs="Arial" w:eastAsia="Arial" w:hAnsi="Arial"/>
          <w:sz w:val="18"/>
          <w:szCs w:val="18"/>
          <w:b w:val="1"/>
          <w:bCs w:val="1"/>
          <w:color w:val="auto"/>
        </w:rPr>
        <w:t>Article 36</w:t>
      </w:r>
      <w:r>
        <w:rPr>
          <w:rFonts w:ascii="Arial" w:cs="Arial" w:eastAsia="Arial" w:hAnsi="Arial"/>
          <w:sz w:val="26"/>
          <w:szCs w:val="26"/>
          <w:b w:val="1"/>
          <w:bCs w:val="1"/>
          <w:color w:val="auto"/>
          <w:vertAlign w:val="superscript"/>
        </w:rPr>
        <w:t>quinquies</w:t>
      </w:r>
    </w:p>
    <w:p>
      <w:pPr>
        <w:sectPr>
          <w:pgSz w:w="11900" w:h="16838" w:orient="portrait"/>
          <w:cols w:equalWidth="0" w:num="2">
            <w:col w:w="4760" w:space="668"/>
            <w:col w:w="3692"/>
          </w:cols>
          <w:pgMar w:left="1440" w:top="670" w:right="1339" w:bottom="1440" w:gutter="0" w:footer="0" w:header="0"/>
        </w:sectPr>
      </w:pPr>
    </w:p>
    <w:bookmarkStart w:id="61" w:name="page62"/>
    <w:bookmarkEnd w:id="6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line="285" w:lineRule="auto"/>
        <w:rPr>
          <w:sz w:val="20"/>
          <w:szCs w:val="20"/>
          <w:color w:val="auto"/>
        </w:rPr>
      </w:pPr>
      <w:r>
        <w:rPr>
          <w:rFonts w:ascii="Arial" w:cs="Arial" w:eastAsia="Arial" w:hAnsi="Arial"/>
          <w:sz w:val="14"/>
          <w:szCs w:val="14"/>
          <w:color w:val="auto"/>
        </w:rPr>
        <w:t>Kapitalerhöhung aus Eigenkapital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Bei der Kapitalerhöhung vom 18. Juni 2024 wurde der Erhöhungsbetrag im Umfang von USD 2'250'000.00 durch Umwandlung von frei verwendbarem Eigenkapital liberiert.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Artikel 36</w:t>
      </w:r>
      <w:r>
        <w:rPr>
          <w:rFonts w:ascii="Arial" w:cs="Arial" w:eastAsia="Arial" w:hAnsi="Arial"/>
          <w:sz w:val="26"/>
          <w:szCs w:val="26"/>
          <w:b w:val="1"/>
          <w:bCs w:val="1"/>
          <w:color w:val="auto"/>
          <w:vertAlign w:val="superscript"/>
        </w:rPr>
        <w:t>sexies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- 54 -</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60"/>
        <w:spacing w:after="0" w:line="263" w:lineRule="auto"/>
        <w:rPr>
          <w:sz w:val="20"/>
          <w:szCs w:val="20"/>
          <w:color w:val="auto"/>
        </w:rPr>
      </w:pPr>
      <w:r>
        <w:rPr>
          <w:rFonts w:ascii="Arial" w:cs="Arial" w:eastAsia="Arial" w:hAnsi="Arial"/>
          <w:sz w:val="14"/>
          <w:szCs w:val="14"/>
          <w:color w:val="auto"/>
        </w:rPr>
        <w:t>Capital increase from equity capital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The amount of USD 2,250,000.00 from the capital increase on June 18, 2024 was paid in by converting freely usably equity.</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36</w:t>
      </w:r>
      <w:r>
        <w:rPr>
          <w:rFonts w:ascii="Arial" w:cs="Arial" w:eastAsia="Arial" w:hAnsi="Arial"/>
          <w:sz w:val="26"/>
          <w:szCs w:val="26"/>
          <w:b w:val="1"/>
          <w:bCs w:val="1"/>
          <w:color w:val="auto"/>
          <w:vertAlign w:val="superscript"/>
        </w:rPr>
        <w:t>sexies</w:t>
      </w:r>
    </w:p>
    <w:p>
      <w:pPr>
        <w:spacing w:after="0" w:line="133" w:lineRule="exact"/>
        <w:rPr>
          <w:sz w:val="20"/>
          <w:szCs w:val="20"/>
          <w:color w:val="auto"/>
        </w:rPr>
      </w:pPr>
    </w:p>
    <w:p>
      <w:pPr>
        <w:sectPr>
          <w:pgSz w:w="11900" w:h="16838" w:orient="portrait"/>
          <w:cols w:equalWidth="0" w:num="4">
            <w:col w:w="1040" w:space="360"/>
            <w:col w:w="3000" w:space="260"/>
            <w:col w:w="1020" w:space="380"/>
            <w:col w:w="3200"/>
          </w:cols>
          <w:pgMar w:left="1220" w:top="670" w:right="1419" w:bottom="1440" w:gutter="0" w:footer="0" w:header="0"/>
        </w:sectPr>
      </w:pPr>
    </w:p>
    <w:p>
      <w:pPr>
        <w:spacing w:after="0" w:line="10" w:lineRule="exact"/>
        <w:rPr>
          <w:sz w:val="20"/>
          <w:szCs w:val="20"/>
          <w:color w:val="auto"/>
        </w:rPr>
      </w:pPr>
    </w:p>
    <w:p>
      <w:pPr>
        <w:spacing w:after="0" w:line="285" w:lineRule="auto"/>
        <w:rPr>
          <w:sz w:val="20"/>
          <w:szCs w:val="20"/>
          <w:color w:val="auto"/>
        </w:rPr>
      </w:pPr>
      <w:r>
        <w:rPr>
          <w:rFonts w:ascii="Arial" w:cs="Arial" w:eastAsia="Arial" w:hAnsi="Arial"/>
          <w:sz w:val="14"/>
          <w:szCs w:val="14"/>
          <w:color w:val="auto"/>
        </w:rPr>
        <w:t>Kapitalerhöhung aus Eigenkapital</w:t>
      </w:r>
    </w:p>
    <w:p>
      <w:pPr>
        <w:spacing w:after="0" w:line="20" w:lineRule="exact"/>
        <w:rPr>
          <w:sz w:val="20"/>
          <w:szCs w:val="20"/>
          <w:color w:val="auto"/>
        </w:rPr>
      </w:pPr>
      <w:r>
        <w:rPr>
          <w:sz w:val="20"/>
          <w:szCs w:val="20"/>
          <w:color w:val="auto"/>
        </w:rPr>
        <w:br w:type="column"/>
      </w:r>
    </w:p>
    <w:p>
      <w:pPr>
        <w:spacing w:after="0" w:line="244" w:lineRule="auto"/>
        <w:rPr>
          <w:sz w:val="20"/>
          <w:szCs w:val="20"/>
          <w:color w:val="auto"/>
        </w:rPr>
      </w:pPr>
      <w:r>
        <w:rPr>
          <w:rFonts w:ascii="Arial" w:cs="Arial" w:eastAsia="Arial" w:hAnsi="Arial"/>
          <w:sz w:val="18"/>
          <w:szCs w:val="18"/>
          <w:color w:val="auto"/>
        </w:rPr>
        <w:t>Bei der Kapitalerhöhung vom 30. Mai 2025 wurde der Erhöhungsbetrag im Umfang von USD 20'416'578.00 durch Umwandlung von frei verwendbarem Eigenkapital liberiert.</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Artikel 36</w:t>
      </w:r>
      <w:r>
        <w:rPr>
          <w:rFonts w:ascii="Arial" w:cs="Arial" w:eastAsia="Arial" w:hAnsi="Arial"/>
          <w:sz w:val="26"/>
          <w:szCs w:val="26"/>
          <w:b w:val="1"/>
          <w:bCs w:val="1"/>
          <w:color w:val="auto"/>
          <w:vertAlign w:val="superscript"/>
        </w:rPr>
        <w:t>septies</w:t>
      </w:r>
    </w:p>
    <w:p>
      <w:pPr>
        <w:spacing w:after="0" w:line="20" w:lineRule="exact"/>
        <w:rPr>
          <w:sz w:val="20"/>
          <w:szCs w:val="20"/>
          <w:color w:val="auto"/>
        </w:rPr>
      </w:pPr>
      <w:r>
        <w:rPr>
          <w:sz w:val="20"/>
          <w:szCs w:val="20"/>
          <w:color w:val="auto"/>
        </w:rPr>
        <w:br w:type="column"/>
      </w:r>
    </w:p>
    <w:p>
      <w:pPr>
        <w:spacing w:after="0" w:line="263" w:lineRule="auto"/>
        <w:rPr>
          <w:sz w:val="20"/>
          <w:szCs w:val="20"/>
          <w:color w:val="auto"/>
        </w:rPr>
      </w:pPr>
      <w:r>
        <w:rPr>
          <w:rFonts w:ascii="Arial" w:cs="Arial" w:eastAsia="Arial" w:hAnsi="Arial"/>
          <w:sz w:val="14"/>
          <w:szCs w:val="14"/>
          <w:color w:val="auto"/>
        </w:rPr>
        <w:t>Capital increase from equity capital</w:t>
      </w:r>
    </w:p>
    <w:p>
      <w:pPr>
        <w:spacing w:after="0" w:line="20" w:lineRule="exact"/>
        <w:rPr>
          <w:sz w:val="20"/>
          <w:szCs w:val="20"/>
          <w:color w:val="auto"/>
        </w:rPr>
      </w:pPr>
      <w:r>
        <w:rPr>
          <w:sz w:val="20"/>
          <w:szCs w:val="20"/>
          <w:color w:val="auto"/>
        </w:rPr>
        <w:br w:type="column"/>
      </w:r>
    </w:p>
    <w:p>
      <w:pPr>
        <w:spacing w:after="0" w:line="247" w:lineRule="auto"/>
        <w:rPr>
          <w:sz w:val="20"/>
          <w:szCs w:val="20"/>
          <w:color w:val="auto"/>
        </w:rPr>
      </w:pPr>
      <w:r>
        <w:rPr>
          <w:rFonts w:ascii="Arial" w:cs="Arial" w:eastAsia="Arial" w:hAnsi="Arial"/>
          <w:sz w:val="18"/>
          <w:szCs w:val="18"/>
          <w:color w:val="auto"/>
        </w:rPr>
        <w:t>The amount of USD 20,416,578.00 from the capital increase on May 30, 2024 was paid in by converting freely usably equity.</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36</w:t>
      </w:r>
      <w:r>
        <w:rPr>
          <w:rFonts w:ascii="Arial" w:cs="Arial" w:eastAsia="Arial" w:hAnsi="Arial"/>
          <w:sz w:val="26"/>
          <w:szCs w:val="26"/>
          <w:b w:val="1"/>
          <w:bCs w:val="1"/>
          <w:color w:val="auto"/>
          <w:vertAlign w:val="superscript"/>
        </w:rPr>
        <w:t>septies</w:t>
      </w:r>
    </w:p>
    <w:p>
      <w:pPr>
        <w:spacing w:after="0" w:line="133" w:lineRule="exact"/>
        <w:rPr>
          <w:sz w:val="20"/>
          <w:szCs w:val="20"/>
          <w:color w:val="auto"/>
        </w:rPr>
      </w:pPr>
    </w:p>
    <w:p>
      <w:pPr>
        <w:sectPr>
          <w:pgSz w:w="11900" w:h="16838" w:orient="portrait"/>
          <w:cols w:equalWidth="0" w:num="4">
            <w:col w:w="1040" w:space="360"/>
            <w:col w:w="3060" w:space="360"/>
            <w:col w:w="860" w:space="380"/>
            <w:col w:w="3200"/>
          </w:cols>
          <w:pgMar w:left="1220" w:top="670" w:right="1419" w:bottom="1440" w:gutter="0" w:footer="0" w:header="0"/>
          <w:type w:val="continuous"/>
        </w:sectPr>
      </w:pPr>
    </w:p>
    <w:p>
      <w:pPr>
        <w:spacing w:after="0" w:line="10" w:lineRule="exact"/>
        <w:rPr>
          <w:sz w:val="20"/>
          <w:szCs w:val="20"/>
          <w:color w:val="auto"/>
        </w:rPr>
      </w:pPr>
    </w:p>
    <w:p>
      <w:pPr>
        <w:spacing w:after="0" w:line="285" w:lineRule="auto"/>
        <w:rPr>
          <w:sz w:val="20"/>
          <w:szCs w:val="20"/>
          <w:color w:val="auto"/>
        </w:rPr>
      </w:pPr>
      <w:r>
        <w:rPr>
          <w:rFonts w:ascii="Arial" w:cs="Arial" w:eastAsia="Arial" w:hAnsi="Arial"/>
          <w:sz w:val="14"/>
          <w:szCs w:val="14"/>
          <w:color w:val="auto"/>
        </w:rPr>
        <w:t>Kapitalerhöhung aus Eigenkapital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140"/>
        <w:spacing w:after="0" w:line="252" w:lineRule="auto"/>
        <w:rPr>
          <w:sz w:val="20"/>
          <w:szCs w:val="20"/>
          <w:color w:val="auto"/>
        </w:rPr>
      </w:pPr>
      <w:r>
        <w:rPr>
          <w:rFonts w:ascii="Arial" w:cs="Arial" w:eastAsia="Arial" w:hAnsi="Arial"/>
          <w:sz w:val="14"/>
          <w:szCs w:val="14"/>
          <w:color w:val="auto"/>
        </w:rPr>
        <w:t>Genehmigung der Vergütung gemäss Artikel 29a Abs. 1</w:t>
      </w:r>
    </w:p>
    <w:p>
      <w:pPr>
        <w:spacing w:after="0" w:line="20" w:lineRule="exact"/>
        <w:rPr>
          <w:sz w:val="20"/>
          <w:szCs w:val="20"/>
          <w:color w:val="auto"/>
        </w:rPr>
      </w:pPr>
      <w:r>
        <w:rPr>
          <w:sz w:val="20"/>
          <w:szCs w:val="20"/>
          <w:color w:val="auto"/>
        </w:rPr>
        <w:br w:type="column"/>
      </w:r>
    </w:p>
    <w:p>
      <w:pPr>
        <w:ind w:right="140"/>
        <w:spacing w:after="0" w:line="244" w:lineRule="auto"/>
        <w:rPr>
          <w:sz w:val="20"/>
          <w:szCs w:val="20"/>
          <w:color w:val="auto"/>
        </w:rPr>
      </w:pPr>
      <w:r>
        <w:rPr>
          <w:rFonts w:ascii="Arial" w:cs="Arial" w:eastAsia="Arial" w:hAnsi="Arial"/>
          <w:sz w:val="18"/>
          <w:szCs w:val="18"/>
          <w:color w:val="auto"/>
        </w:rPr>
        <w:t>Bei der Kapitalerhöhung vom 22. Mai 2026 wurde der Erhöhungsbetrag im Umfang von USD 10'000'000.00 durch Umwandlung von frei verwendbarem Eigenkapital liberiert.</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Artikel 37</w:t>
      </w:r>
    </w:p>
    <w:p>
      <w:pPr>
        <w:spacing w:after="0" w:line="17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Die Genehmigung der Vergütung des Verwaltungsrates und der Geschäftsleitung durch die Aktionäre gemäss Artikel 29a Abs. 1 dieser Statuten findet erstmals an der ordentlichen Generalversammlung 2015 statt.</w:t>
      </w:r>
    </w:p>
    <w:p>
      <w:pPr>
        <w:spacing w:after="0" w:line="20" w:lineRule="exact"/>
        <w:rPr>
          <w:sz w:val="20"/>
          <w:szCs w:val="20"/>
          <w:color w:val="auto"/>
        </w:rPr>
      </w:pPr>
      <w:r>
        <w:rPr>
          <w:sz w:val="20"/>
          <w:szCs w:val="20"/>
          <w:color w:val="auto"/>
        </w:rPr>
        <w:br w:type="column"/>
      </w:r>
    </w:p>
    <w:p>
      <w:pPr>
        <w:ind w:right="20"/>
        <w:spacing w:after="0" w:line="263" w:lineRule="auto"/>
        <w:rPr>
          <w:sz w:val="20"/>
          <w:szCs w:val="20"/>
          <w:color w:val="auto"/>
        </w:rPr>
      </w:pPr>
      <w:r>
        <w:rPr>
          <w:rFonts w:ascii="Arial" w:cs="Arial" w:eastAsia="Arial" w:hAnsi="Arial"/>
          <w:sz w:val="14"/>
          <w:szCs w:val="14"/>
          <w:color w:val="auto"/>
        </w:rPr>
        <w:t>Capital increase from equity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color w:val="auto"/>
        </w:rPr>
        <w:t>Ratification of</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the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compensation</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pursuant to</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Article 29a</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para.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-3146425</wp:posOffset>
            </wp:positionH>
            <wp:positionV relativeFrom="paragraph">
              <wp:posOffset>1060450</wp:posOffset>
            </wp:positionV>
            <wp:extent cx="629221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7" w:lineRule="auto"/>
        <w:rPr>
          <w:sz w:val="20"/>
          <w:szCs w:val="20"/>
          <w:color w:val="auto"/>
        </w:rPr>
      </w:pPr>
      <w:r>
        <w:rPr>
          <w:rFonts w:ascii="Arial" w:cs="Arial" w:eastAsia="Arial" w:hAnsi="Arial"/>
          <w:sz w:val="18"/>
          <w:szCs w:val="18"/>
          <w:color w:val="auto"/>
        </w:rPr>
        <w:t>The amount of USD 10,000,000.00 from the capital increase on May 22, 2026 was paid in by converting freely usably equity.</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37</w:t>
      </w:r>
    </w:p>
    <w:p>
      <w:pPr>
        <w:spacing w:after="0" w:line="171" w:lineRule="exact"/>
        <w:rPr>
          <w:sz w:val="20"/>
          <w:szCs w:val="20"/>
          <w:color w:val="auto"/>
        </w:rPr>
      </w:pPr>
    </w:p>
    <w:p>
      <w:pPr>
        <w:ind w:right="80"/>
        <w:spacing w:after="0" w:line="274" w:lineRule="auto"/>
        <w:rPr>
          <w:sz w:val="20"/>
          <w:szCs w:val="20"/>
          <w:color w:val="auto"/>
        </w:rPr>
      </w:pPr>
      <w:r>
        <w:rPr>
          <w:rFonts w:ascii="Arial" w:cs="Arial" w:eastAsia="Arial" w:hAnsi="Arial"/>
          <w:sz w:val="17"/>
          <w:szCs w:val="17"/>
          <w:color w:val="auto"/>
        </w:rPr>
        <w:t>The ratification by shareholders of the compensation of the Board of Directors and the Executive Management Team pursuant to Article 29a para. 1 of these Articles of Association shall take place for the first time at the 2015 Annual General Meeting.</w:t>
      </w:r>
    </w:p>
    <w:p>
      <w:pPr>
        <w:sectPr>
          <w:pgSz w:w="11900" w:h="16838" w:orient="portrait"/>
          <w:cols w:equalWidth="0" w:num="4">
            <w:col w:w="1040" w:space="360"/>
            <w:col w:w="3200" w:space="220"/>
            <w:col w:w="880" w:space="360"/>
            <w:col w:w="3200"/>
          </w:cols>
          <w:pgMar w:left="1220" w:top="670" w:right="1419" w:bottom="1440" w:gutter="0" w:footer="0" w:header="0"/>
          <w:type w:val="continuous"/>
        </w:sectPr>
      </w:pPr>
    </w:p>
    <w:bookmarkStart w:id="62" w:name="page63"/>
    <w:bookmarkEnd w:id="62"/>
    <w:p>
      <w:pPr>
        <w:jc w:val="center"/>
        <w:ind w:right="-299"/>
        <w:spacing w:after="0"/>
        <w:rPr>
          <w:sz w:val="20"/>
          <w:szCs w:val="20"/>
          <w:color w:val="auto"/>
        </w:rPr>
      </w:pPr>
      <w:r>
        <w:rPr>
          <w:rFonts w:ascii="Arial" w:cs="Arial" w:eastAsia="Arial" w:hAnsi="Arial"/>
          <w:sz w:val="14"/>
          <w:szCs w:val="14"/>
          <w:color w:val="auto"/>
        </w:rPr>
        <w:t>- 55 -</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440"/>
        <w:spacing w:after="0"/>
        <w:tabs>
          <w:tab w:leader="none" w:pos="6000" w:val="left"/>
        </w:tabs>
        <w:rPr>
          <w:sz w:val="20"/>
          <w:szCs w:val="20"/>
          <w:color w:val="auto"/>
        </w:rPr>
      </w:pPr>
      <w:r>
        <w:rPr>
          <w:rFonts w:ascii="Arial" w:cs="Arial" w:eastAsia="Arial" w:hAnsi="Arial"/>
          <w:sz w:val="18"/>
          <w:szCs w:val="18"/>
          <w:b w:val="1"/>
          <w:bCs w:val="1"/>
          <w:color w:val="auto"/>
        </w:rPr>
        <w:t>Artikel 38</w:t>
      </w:r>
      <w:r>
        <w:rPr>
          <w:sz w:val="20"/>
          <w:szCs w:val="20"/>
          <w:color w:val="auto"/>
        </w:rPr>
        <w:tab/>
      </w:r>
      <w:r>
        <w:rPr>
          <w:rFonts w:ascii="Arial" w:cs="Arial" w:eastAsia="Arial" w:hAnsi="Arial"/>
          <w:sz w:val="18"/>
          <w:szCs w:val="18"/>
          <w:b w:val="1"/>
          <w:bCs w:val="1"/>
          <w:color w:val="auto"/>
        </w:rPr>
        <w:t>Article 38</w:t>
      </w:r>
    </w:p>
    <w:p>
      <w:pPr>
        <w:sectPr>
          <w:pgSz w:w="11900" w:h="16838" w:orient="portrait"/>
          <w:cols w:equalWidth="0" w:num="1">
            <w:col w:w="9340"/>
          </w:cols>
          <w:pgMar w:left="1220" w:top="670" w:right="1339" w:bottom="1440" w:gutter="0" w:footer="0" w:header="0"/>
        </w:sectPr>
      </w:pPr>
    </w:p>
    <w:p>
      <w:pPr>
        <w:spacing w:after="0" w:line="235" w:lineRule="exact"/>
        <w:rPr>
          <w:sz w:val="20"/>
          <w:szCs w:val="20"/>
          <w:color w:val="auto"/>
        </w:rPr>
      </w:pPr>
    </w:p>
    <w:p>
      <w:pPr>
        <w:spacing w:after="0" w:line="247" w:lineRule="auto"/>
        <w:rPr>
          <w:sz w:val="20"/>
          <w:szCs w:val="20"/>
          <w:color w:val="auto"/>
        </w:rPr>
      </w:pPr>
      <w:r>
        <w:rPr>
          <w:rFonts w:ascii="Arial" w:cs="Arial" w:eastAsia="Arial" w:hAnsi="Arial"/>
          <w:sz w:val="14"/>
          <w:szCs w:val="14"/>
          <w:color w:val="auto"/>
        </w:rPr>
        <w:t>Übergangsrecht-­ liche Ausnahme zu Artikel 22 dieser Statuten betreffend die Höchstzahl der Mitglieder des Verwaltungsrates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207" w:hanging="207"/>
        <w:spacing w:after="0" w:line="228" w:lineRule="auto"/>
        <w:tabs>
          <w:tab w:leader="none" w:pos="207" w:val="left"/>
        </w:tabs>
        <w:numPr>
          <w:ilvl w:val="0"/>
          <w:numId w:val="222"/>
        </w:numPr>
        <w:rPr>
          <w:rFonts w:ascii="Arial" w:cs="Arial" w:eastAsia="Arial" w:hAnsi="Arial"/>
          <w:sz w:val="29"/>
          <w:szCs w:val="29"/>
          <w:color w:val="auto"/>
          <w:vertAlign w:val="superscript"/>
        </w:rPr>
      </w:pPr>
      <w:r>
        <w:rPr>
          <w:rFonts w:ascii="Arial" w:cs="Arial" w:eastAsia="Arial" w:hAnsi="Arial"/>
          <w:sz w:val="18"/>
          <w:szCs w:val="18"/>
          <w:color w:val="auto"/>
        </w:rPr>
        <w:t>Bis zum Abschluss der ordentlichen Generalversammlung 2015 kann die Höchstzahl der Mitglieder des Verwaltungsrates gemäss Artikel 22 dieser Statuten aufgrund der Wahl eines neuen Mitglieds des Verwaltungsrates an der ausserordentlichen Generalversammlung vom 22. September 2014 und des Verbleibs im Amt dieses neuen Mitglieds des Verwaltungsrates und der 11 an der ordentlichen Generalversammlung 2014 gewählten Mitglieder des Verwaltungsrates vorübergehend überschritten werden und 12 betragen.</w:t>
      </w:r>
    </w:p>
    <w:p>
      <w:pPr>
        <w:spacing w:after="0" w:line="76" w:lineRule="exact"/>
        <w:rPr>
          <w:sz w:val="20"/>
          <w:szCs w:val="20"/>
          <w:color w:val="auto"/>
        </w:rPr>
      </w:pPr>
    </w:p>
    <w:p>
      <w:pPr>
        <w:ind w:left="207" w:right="100" w:hanging="207"/>
        <w:spacing w:after="0" w:line="212" w:lineRule="auto"/>
        <w:tabs>
          <w:tab w:leader="none" w:pos="207" w:val="left"/>
        </w:tabs>
        <w:numPr>
          <w:ilvl w:val="0"/>
          <w:numId w:val="223"/>
        </w:numPr>
        <w:rPr>
          <w:rFonts w:ascii="Arial" w:cs="Arial" w:eastAsia="Arial" w:hAnsi="Arial"/>
          <w:sz w:val="29"/>
          <w:szCs w:val="29"/>
          <w:color w:val="auto"/>
          <w:vertAlign w:val="superscript"/>
        </w:rPr>
      </w:pPr>
      <w:r>
        <w:rPr>
          <w:rFonts w:ascii="Arial" w:cs="Arial" w:eastAsia="Arial" w:hAnsi="Arial"/>
          <w:sz w:val="18"/>
          <w:szCs w:val="18"/>
          <w:color w:val="auto"/>
        </w:rPr>
        <w:t>Jede Änderung dieses Artikels 38 untersteht den gleichen Präsenz- und Mehrheitsquoren wie eine Änderung von Artikel 22.</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color w:val="auto"/>
        </w:rPr>
        <w:t>Transitory</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exception</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to the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maximum</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number of</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the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members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of the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Board of</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Directors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pursuant to</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Article 22</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of the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Articles of</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Association</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224" w:right="60" w:hanging="224"/>
        <w:spacing w:after="0" w:line="228" w:lineRule="auto"/>
        <w:tabs>
          <w:tab w:leader="none" w:pos="224" w:val="left"/>
        </w:tabs>
        <w:numPr>
          <w:ilvl w:val="0"/>
          <w:numId w:val="224"/>
        </w:numPr>
        <w:rPr>
          <w:rFonts w:ascii="Arial" w:cs="Arial" w:eastAsia="Arial" w:hAnsi="Arial"/>
          <w:sz w:val="29"/>
          <w:szCs w:val="29"/>
          <w:color w:val="auto"/>
          <w:vertAlign w:val="superscript"/>
        </w:rPr>
      </w:pPr>
      <w:r>
        <w:rPr>
          <w:rFonts w:ascii="Arial" w:cs="Arial" w:eastAsia="Arial" w:hAnsi="Arial"/>
          <w:sz w:val="18"/>
          <w:szCs w:val="18"/>
          <w:color w:val="auto"/>
        </w:rPr>
        <w:t>Until completion of the 2015 Annual General Meeting the maximum number of the members of the Board of Directors pursuant to Article 22 of these Articles of Association may be temporarily exceeded as a result of the election of one new member of the Board of Directors at the Extraordinary General Meeting of Shareholders of September 22, 2014 and the continuance in office of this new member of the Board of Directors and the 11 members of the Board of Directors elected at the 2014 Annual General Meeting and amount to 12.</w:t>
      </w:r>
    </w:p>
    <w:p>
      <w:pPr>
        <w:spacing w:after="0" w:line="76" w:lineRule="exact"/>
        <w:rPr>
          <w:sz w:val="20"/>
          <w:szCs w:val="20"/>
          <w:color w:val="auto"/>
        </w:rPr>
      </w:pPr>
    </w:p>
    <w:p>
      <w:pPr>
        <w:ind w:left="224" w:hanging="224"/>
        <w:spacing w:after="0" w:line="212" w:lineRule="auto"/>
        <w:tabs>
          <w:tab w:leader="none" w:pos="224" w:val="left"/>
        </w:tabs>
        <w:numPr>
          <w:ilvl w:val="0"/>
          <w:numId w:val="225"/>
        </w:numPr>
        <w:rPr>
          <w:rFonts w:ascii="Arial" w:cs="Arial" w:eastAsia="Arial" w:hAnsi="Arial"/>
          <w:sz w:val="29"/>
          <w:szCs w:val="29"/>
          <w:color w:val="auto"/>
          <w:vertAlign w:val="superscript"/>
        </w:rPr>
      </w:pPr>
      <w:r>
        <w:rPr>
          <w:rFonts w:ascii="Arial" w:cs="Arial" w:eastAsia="Arial" w:hAnsi="Arial"/>
          <w:sz w:val="18"/>
          <w:szCs w:val="18"/>
          <w:color w:val="auto"/>
        </w:rPr>
        <w:t>Any amendment to this Article 38 shall be subject to the same presence quorum and voting majority requirements as an amendment to Article 22.</w:t>
      </w:r>
    </w:p>
    <w:p>
      <w:pPr>
        <w:spacing w:after="0" w:line="200" w:lineRule="exact"/>
        <w:rPr>
          <w:sz w:val="20"/>
          <w:szCs w:val="20"/>
          <w:color w:val="auto"/>
        </w:rPr>
      </w:pPr>
    </w:p>
    <w:p>
      <w:pPr>
        <w:sectPr>
          <w:pgSz w:w="11900" w:h="16838" w:orient="portrait"/>
          <w:cols w:equalWidth="0" w:num="4">
            <w:col w:w="1100" w:space="133"/>
            <w:col w:w="3547" w:space="140"/>
            <w:col w:w="740" w:space="136"/>
            <w:col w:w="3544"/>
          </w:cols>
          <w:pgMar w:left="1220" w:top="670" w:right="1339" w:bottom="1440" w:gutter="0" w:footer="0" w:header="0"/>
          <w:type w:val="continuous"/>
        </w:sectPr>
      </w:pPr>
    </w:p>
    <w:p>
      <w:pPr>
        <w:spacing w:after="0" w:line="280" w:lineRule="exact"/>
        <w:rPr>
          <w:sz w:val="20"/>
          <w:szCs w:val="20"/>
          <w:color w:val="auto"/>
        </w:rPr>
      </w:pPr>
    </w:p>
    <w:p>
      <w:pPr>
        <w:ind w:left="3720"/>
        <w:spacing w:after="0"/>
        <w:rPr>
          <w:sz w:val="20"/>
          <w:szCs w:val="20"/>
          <w:color w:val="auto"/>
        </w:rPr>
      </w:pPr>
      <w:r>
        <w:rPr>
          <w:rFonts w:ascii="Arial" w:cs="Arial" w:eastAsia="Arial" w:hAnsi="Arial"/>
          <w:sz w:val="20"/>
          <w:szCs w:val="20"/>
          <w:color w:val="auto"/>
        </w:rPr>
        <w:t>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362585</wp:posOffset>
            </wp:positionV>
            <wp:extent cx="6292215"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340"/>
          </w:cols>
          <w:pgMar w:left="1220" w:top="670" w:right="1339" w:bottom="1440" w:gutter="0" w:footer="0" w:header="0"/>
          <w:type w:val="continuous"/>
        </w:sectPr>
      </w:pPr>
    </w:p>
    <w:bookmarkStart w:id="63" w:name="page64"/>
    <w:bookmarkEnd w:id="63"/>
    <w:p>
      <w:pPr>
        <w:jc w:val="right"/>
        <w:ind w:right="219"/>
        <w:spacing w:after="0"/>
        <w:rPr>
          <w:sz w:val="20"/>
          <w:szCs w:val="20"/>
          <w:color w:val="auto"/>
        </w:rPr>
      </w:pPr>
      <w:r>
        <w:rPr>
          <w:rFonts w:ascii="Times New Roman" w:cs="Times New Roman" w:eastAsia="Times New Roman" w:hAnsi="Times New Roman"/>
          <w:sz w:val="22"/>
          <w:szCs w:val="22"/>
          <w:color w:val="auto"/>
        </w:rPr>
        <w:t>Exhibit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765810</wp:posOffset>
            </wp:positionV>
            <wp:extent cx="5452110" cy="342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452110" cy="342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748665</wp:posOffset>
            </wp:positionV>
            <wp:extent cx="545211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4521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ORGANIZATIONAL REGULATIONS</w:t>
      </w: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amended effective as of July 1, 2026</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of</w:t>
      </w:r>
    </w:p>
    <w:p>
      <w:pPr>
        <w:spacing w:after="0" w:line="233"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Transocean Ltd.,</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a Swiss corporation with its registered office in Steinhausen, Switzerland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850265</wp:posOffset>
            </wp:positionV>
            <wp:extent cx="5452110"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452110" cy="2603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499110</wp:posOffset>
            </wp:positionV>
            <wp:extent cx="545211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452110" cy="825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455930</wp:posOffset>
            </wp:positionV>
            <wp:extent cx="5452110" cy="342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452110" cy="3429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64" w:name="page65"/>
    <w:bookmarkEnd w:id="64"/>
    <w:tbl>
      <w:tblPr>
        <w:tblLayout w:type="fixed"/>
        <w:tblInd w:w="40" w:type="dxa"/>
        <w:tblCellMar>
          <w:top w:w="0" w:type="dxa"/>
          <w:left w:w="0" w:type="dxa"/>
          <w:bottom w:w="0" w:type="dxa"/>
          <w:right w:w="0" w:type="dxa"/>
        </w:tblCellMar>
      </w:tblPr>
      <w:tr>
        <w:trPr>
          <w:trHeight w:val="190"/>
        </w:trPr>
        <w:tc>
          <w:tcPr>
            <w:tcW w:w="1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1</w:t>
            </w:r>
          </w:p>
        </w:tc>
      </w:tr>
      <w:tr>
        <w:trPr>
          <w:trHeight w:val="466"/>
        </w:trPr>
        <w:tc>
          <w:tcPr>
            <w:tcW w:w="7420" w:type="dxa"/>
            <w:vAlign w:val="bottom"/>
            <w:gridSpan w:val="22"/>
          </w:tcPr>
          <w:p>
            <w:pPr>
              <w:spacing w:after="0"/>
              <w:rPr>
                <w:sz w:val="20"/>
                <w:szCs w:val="20"/>
                <w:color w:val="auto"/>
              </w:rPr>
            </w:pPr>
            <w:r>
              <w:rPr>
                <w:rFonts w:ascii="Arial" w:cs="Arial" w:eastAsia="Arial" w:hAnsi="Arial"/>
                <w:sz w:val="22"/>
                <w:szCs w:val="22"/>
                <w:b w:val="1"/>
                <w:bCs w:val="1"/>
                <w:color w:val="auto"/>
              </w:rPr>
              <w:t>TABLE OF CONTENTS</w:t>
            </w: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79"/>
        </w:trPr>
        <w:tc>
          <w:tcPr>
            <w:tcW w:w="2860" w:type="dxa"/>
            <w:vAlign w:val="bottom"/>
            <w:tcBorders>
              <w:bottom w:val="single" w:sz="8" w:color="0000EE"/>
            </w:tcBorders>
            <w:gridSpan w:val="8"/>
          </w:tcPr>
          <w:p>
            <w:pPr>
              <w:spacing w:after="0"/>
              <w:rPr>
                <w:sz w:val="20"/>
                <w:szCs w:val="20"/>
                <w:color w:val="auto"/>
              </w:rPr>
            </w:pPr>
            <w:r>
              <w:rPr>
                <w:rFonts w:ascii="Arial" w:cs="Arial" w:eastAsia="Arial" w:hAnsi="Arial"/>
                <w:sz w:val="20"/>
                <w:szCs w:val="20"/>
                <w:color w:val="0000EE"/>
                <w:highlight w:val="white"/>
                <w:w w:val="98"/>
              </w:rPr>
              <w:t>ARTICLE 1 SCOPE AND BASIS</w:t>
            </w:r>
          </w:p>
        </w:tc>
        <w:tc>
          <w:tcPr>
            <w:tcW w:w="4560" w:type="dxa"/>
            <w:vAlign w:val="bottom"/>
            <w:gridSpan w:val="14"/>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Borders>
              <w:bottom w:val="single" w:sz="8" w:color="0000EE"/>
            </w:tcBorders>
          </w:tcPr>
          <w:p>
            <w:pPr>
              <w:jc w:val="right"/>
              <w:spacing w:after="0"/>
              <w:rPr>
                <w:sz w:val="20"/>
                <w:szCs w:val="20"/>
                <w:color w:val="auto"/>
              </w:rPr>
            </w:pPr>
            <w:r>
              <w:rPr>
                <w:rFonts w:ascii="Arial" w:cs="Arial" w:eastAsia="Arial" w:hAnsi="Arial"/>
                <w:sz w:val="20"/>
                <w:szCs w:val="20"/>
                <w:color w:val="0000EE"/>
                <w:w w:val="89"/>
              </w:rPr>
              <w:t>3</w:t>
            </w:r>
          </w:p>
        </w:tc>
      </w:tr>
      <w:tr>
        <w:trPr>
          <w:trHeight w:val="304"/>
        </w:trPr>
        <w:tc>
          <w:tcPr>
            <w:tcW w:w="1160" w:type="dxa"/>
            <w:vAlign w:val="bottom"/>
          </w:tcPr>
          <w:p>
            <w:pPr>
              <w:spacing w:after="0"/>
              <w:rPr>
                <w:sz w:val="20"/>
                <w:szCs w:val="20"/>
                <w:color w:val="auto"/>
              </w:rPr>
            </w:pPr>
            <w:r>
              <w:rPr>
                <w:rFonts w:ascii="Arial" w:cs="Arial" w:eastAsia="Arial" w:hAnsi="Arial"/>
                <w:sz w:val="20"/>
                <w:szCs w:val="20"/>
                <w:color w:val="0000EE"/>
                <w:w w:val="97"/>
              </w:rPr>
              <w:t>Section 1.01.</w:t>
            </w:r>
          </w:p>
        </w:tc>
        <w:tc>
          <w:tcPr>
            <w:tcW w:w="6260" w:type="dxa"/>
            <w:vAlign w:val="bottom"/>
            <w:gridSpan w:val="21"/>
          </w:tcPr>
          <w:p>
            <w:pPr>
              <w:ind w:left="780"/>
              <w:spacing w:after="0"/>
              <w:rPr>
                <w:sz w:val="20"/>
                <w:szCs w:val="20"/>
                <w:color w:val="auto"/>
              </w:rPr>
            </w:pPr>
            <w:r>
              <w:rPr>
                <w:rFonts w:ascii="Arial" w:cs="Arial" w:eastAsia="Arial" w:hAnsi="Arial"/>
                <w:sz w:val="20"/>
                <w:szCs w:val="20"/>
                <w:color w:val="0000EE"/>
              </w:rPr>
              <w:t>Basis.</w:t>
            </w:r>
          </w:p>
        </w:tc>
        <w:tc>
          <w:tcPr>
            <w:tcW w:w="1480" w:type="dxa"/>
            <w:vAlign w:val="bottom"/>
            <w:gridSpan w:val="2"/>
          </w:tcPr>
          <w:p>
            <w:pPr>
              <w:jc w:val="right"/>
              <w:spacing w:after="0"/>
              <w:rPr>
                <w:sz w:val="20"/>
                <w:szCs w:val="20"/>
                <w:color w:val="auto"/>
              </w:rPr>
            </w:pPr>
            <w:r>
              <w:rPr>
                <w:rFonts w:ascii="Arial" w:cs="Arial" w:eastAsia="Arial" w:hAnsi="Arial"/>
                <w:sz w:val="20"/>
                <w:szCs w:val="20"/>
                <w:color w:val="0000EE"/>
              </w:rPr>
              <w:t>3</w:t>
            </w:r>
          </w:p>
        </w:tc>
      </w:tr>
      <w:tr>
        <w:trPr>
          <w:trHeight w:val="20"/>
        </w:trPr>
        <w:tc>
          <w:tcPr>
            <w:tcW w:w="11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453"/>
        </w:trPr>
        <w:tc>
          <w:tcPr>
            <w:tcW w:w="1160" w:type="dxa"/>
            <w:vAlign w:val="bottom"/>
          </w:tcPr>
          <w:p>
            <w:pPr>
              <w:spacing w:after="0"/>
              <w:rPr>
                <w:sz w:val="20"/>
                <w:szCs w:val="20"/>
                <w:color w:val="auto"/>
              </w:rPr>
            </w:pPr>
            <w:r>
              <w:rPr>
                <w:rFonts w:ascii="Arial" w:cs="Arial" w:eastAsia="Arial" w:hAnsi="Arial"/>
                <w:sz w:val="20"/>
                <w:szCs w:val="20"/>
                <w:color w:val="0000EE"/>
                <w:w w:val="97"/>
              </w:rPr>
              <w:t>Section 1.02.</w:t>
            </w:r>
          </w:p>
        </w:tc>
        <w:tc>
          <w:tcPr>
            <w:tcW w:w="6260" w:type="dxa"/>
            <w:vAlign w:val="bottom"/>
            <w:gridSpan w:val="21"/>
          </w:tcPr>
          <w:p>
            <w:pPr>
              <w:ind w:left="780"/>
              <w:spacing w:after="0"/>
              <w:rPr>
                <w:sz w:val="20"/>
                <w:szCs w:val="20"/>
                <w:color w:val="auto"/>
              </w:rPr>
            </w:pPr>
            <w:r>
              <w:rPr>
                <w:rFonts w:ascii="Arial" w:cs="Arial" w:eastAsia="Arial" w:hAnsi="Arial"/>
                <w:sz w:val="20"/>
                <w:szCs w:val="20"/>
                <w:color w:val="0000EE"/>
              </w:rPr>
              <w:t>Group.</w:t>
            </w:r>
          </w:p>
        </w:tc>
        <w:tc>
          <w:tcPr>
            <w:tcW w:w="1480" w:type="dxa"/>
            <w:vAlign w:val="bottom"/>
            <w:gridSpan w:val="2"/>
          </w:tcPr>
          <w:p>
            <w:pPr>
              <w:jc w:val="right"/>
              <w:spacing w:after="0"/>
              <w:rPr>
                <w:sz w:val="20"/>
                <w:szCs w:val="20"/>
                <w:color w:val="auto"/>
              </w:rPr>
            </w:pPr>
            <w:r>
              <w:rPr>
                <w:rFonts w:ascii="Arial" w:cs="Arial" w:eastAsia="Arial" w:hAnsi="Arial"/>
                <w:sz w:val="20"/>
                <w:szCs w:val="20"/>
                <w:color w:val="0000EE"/>
              </w:rPr>
              <w:t>3</w:t>
            </w:r>
          </w:p>
        </w:tc>
      </w:tr>
      <w:tr>
        <w:trPr>
          <w:trHeight w:val="20"/>
        </w:trPr>
        <w:tc>
          <w:tcPr>
            <w:tcW w:w="11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439"/>
        </w:trPr>
        <w:tc>
          <w:tcPr>
            <w:tcW w:w="1160" w:type="dxa"/>
            <w:vAlign w:val="bottom"/>
          </w:tcPr>
          <w:p>
            <w:pPr>
              <w:spacing w:after="0"/>
              <w:rPr>
                <w:sz w:val="20"/>
                <w:szCs w:val="20"/>
                <w:color w:val="auto"/>
              </w:rPr>
            </w:pPr>
            <w:r>
              <w:rPr>
                <w:rFonts w:ascii="Arial" w:cs="Arial" w:eastAsia="Arial" w:hAnsi="Arial"/>
                <w:sz w:val="20"/>
                <w:szCs w:val="20"/>
                <w:color w:val="0000EE"/>
                <w:w w:val="97"/>
              </w:rPr>
              <w:t>Section 1.03.</w:t>
            </w:r>
          </w:p>
        </w:tc>
        <w:tc>
          <w:tcPr>
            <w:tcW w:w="6260" w:type="dxa"/>
            <w:vAlign w:val="bottom"/>
            <w:gridSpan w:val="21"/>
          </w:tcPr>
          <w:p>
            <w:pPr>
              <w:ind w:left="780"/>
              <w:spacing w:after="0"/>
              <w:rPr>
                <w:sz w:val="20"/>
                <w:szCs w:val="20"/>
                <w:color w:val="auto"/>
              </w:rPr>
            </w:pPr>
            <w:r>
              <w:rPr>
                <w:rFonts w:ascii="Arial" w:cs="Arial" w:eastAsia="Arial" w:hAnsi="Arial"/>
                <w:sz w:val="20"/>
                <w:szCs w:val="20"/>
                <w:color w:val="0000EE"/>
              </w:rPr>
              <w:t>Organization.</w:t>
            </w:r>
          </w:p>
        </w:tc>
        <w:tc>
          <w:tcPr>
            <w:tcW w:w="1480" w:type="dxa"/>
            <w:vAlign w:val="bottom"/>
            <w:gridSpan w:val="2"/>
          </w:tcPr>
          <w:p>
            <w:pPr>
              <w:jc w:val="right"/>
              <w:spacing w:after="0"/>
              <w:rPr>
                <w:sz w:val="20"/>
                <w:szCs w:val="20"/>
                <w:color w:val="auto"/>
              </w:rPr>
            </w:pPr>
            <w:r>
              <w:rPr>
                <w:rFonts w:ascii="Arial" w:cs="Arial" w:eastAsia="Arial" w:hAnsi="Arial"/>
                <w:sz w:val="20"/>
                <w:szCs w:val="20"/>
                <w:color w:val="0000EE"/>
              </w:rPr>
              <w:t>3</w:t>
            </w:r>
          </w:p>
        </w:tc>
      </w:tr>
      <w:tr>
        <w:trPr>
          <w:trHeight w:val="20"/>
        </w:trPr>
        <w:tc>
          <w:tcPr>
            <w:tcW w:w="11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452"/>
        </w:trPr>
        <w:tc>
          <w:tcPr>
            <w:tcW w:w="1160" w:type="dxa"/>
            <w:vAlign w:val="bottom"/>
          </w:tcPr>
          <w:p>
            <w:pPr>
              <w:spacing w:after="0"/>
              <w:rPr>
                <w:sz w:val="20"/>
                <w:szCs w:val="20"/>
                <w:color w:val="auto"/>
              </w:rPr>
            </w:pPr>
            <w:r>
              <w:rPr>
                <w:rFonts w:ascii="Arial" w:cs="Arial" w:eastAsia="Arial" w:hAnsi="Arial"/>
                <w:sz w:val="20"/>
                <w:szCs w:val="20"/>
                <w:color w:val="0000EE"/>
                <w:w w:val="97"/>
              </w:rPr>
              <w:t>Section 1.04.</w:t>
            </w:r>
          </w:p>
        </w:tc>
        <w:tc>
          <w:tcPr>
            <w:tcW w:w="6260" w:type="dxa"/>
            <w:vAlign w:val="bottom"/>
            <w:gridSpan w:val="21"/>
          </w:tcPr>
          <w:p>
            <w:pPr>
              <w:ind w:left="780"/>
              <w:spacing w:after="0"/>
              <w:rPr>
                <w:sz w:val="20"/>
                <w:szCs w:val="20"/>
                <w:color w:val="auto"/>
              </w:rPr>
            </w:pPr>
            <w:r>
              <w:rPr>
                <w:rFonts w:ascii="Arial" w:cs="Arial" w:eastAsia="Arial" w:hAnsi="Arial"/>
                <w:sz w:val="20"/>
                <w:szCs w:val="20"/>
                <w:color w:val="0000EE"/>
              </w:rPr>
              <w:t>Interpretation.</w:t>
            </w:r>
          </w:p>
        </w:tc>
        <w:tc>
          <w:tcPr>
            <w:tcW w:w="1480" w:type="dxa"/>
            <w:vAlign w:val="bottom"/>
            <w:gridSpan w:val="2"/>
          </w:tcPr>
          <w:p>
            <w:pPr>
              <w:jc w:val="right"/>
              <w:spacing w:after="0"/>
              <w:rPr>
                <w:sz w:val="20"/>
                <w:szCs w:val="20"/>
                <w:color w:val="auto"/>
              </w:rPr>
            </w:pPr>
            <w:r>
              <w:rPr>
                <w:rFonts w:ascii="Arial" w:cs="Arial" w:eastAsia="Arial" w:hAnsi="Arial"/>
                <w:sz w:val="20"/>
                <w:szCs w:val="20"/>
                <w:color w:val="0000EE"/>
              </w:rPr>
              <w:t>3</w:t>
            </w:r>
          </w:p>
        </w:tc>
      </w:tr>
      <w:tr>
        <w:trPr>
          <w:trHeight w:val="20"/>
        </w:trPr>
        <w:tc>
          <w:tcPr>
            <w:tcW w:w="11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453"/>
        </w:trPr>
        <w:tc>
          <w:tcPr>
            <w:tcW w:w="7420" w:type="dxa"/>
            <w:vAlign w:val="bottom"/>
            <w:gridSpan w:val="22"/>
          </w:tcPr>
          <w:p>
            <w:pPr>
              <w:spacing w:after="0"/>
              <w:rPr>
                <w:sz w:val="20"/>
                <w:szCs w:val="20"/>
                <w:color w:val="auto"/>
              </w:rPr>
            </w:pPr>
            <w:r>
              <w:rPr>
                <w:rFonts w:ascii="Arial" w:cs="Arial" w:eastAsia="Arial" w:hAnsi="Arial"/>
                <w:sz w:val="20"/>
                <w:szCs w:val="20"/>
                <w:color w:val="0000EE"/>
                <w:highlight w:val="white"/>
              </w:rPr>
              <w:t>ARTICLE 2 CORPORATE ORGANIZATION</w:t>
            </w:r>
          </w:p>
        </w:tc>
        <w:tc>
          <w:tcPr>
            <w:tcW w:w="1480" w:type="dxa"/>
            <w:vAlign w:val="bottom"/>
            <w:gridSpan w:val="2"/>
          </w:tcPr>
          <w:p>
            <w:pPr>
              <w:jc w:val="right"/>
              <w:spacing w:after="0"/>
              <w:rPr>
                <w:sz w:val="20"/>
                <w:szCs w:val="20"/>
                <w:color w:val="auto"/>
              </w:rPr>
            </w:pPr>
            <w:r>
              <w:rPr>
                <w:rFonts w:ascii="Arial" w:cs="Arial" w:eastAsia="Arial" w:hAnsi="Arial"/>
                <w:sz w:val="20"/>
                <w:szCs w:val="20"/>
                <w:color w:val="0000EE"/>
              </w:rPr>
              <w:t>3</w:t>
            </w:r>
          </w:p>
        </w:tc>
      </w:tr>
      <w:tr>
        <w:trPr>
          <w:trHeight w:val="304"/>
        </w:trPr>
        <w:tc>
          <w:tcPr>
            <w:tcW w:w="222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20"/>
                <w:szCs w:val="20"/>
                <w:color w:val="0000EE"/>
                <w:highlight w:val="white"/>
                <w:w w:val="98"/>
              </w:rPr>
              <w:t>ARTICLE 3 THE BOARD</w:t>
            </w:r>
          </w:p>
        </w:tc>
        <w:tc>
          <w:tcPr>
            <w:tcW w:w="1620" w:type="dxa"/>
            <w:vAlign w:val="bottom"/>
            <w:tcBorders>
              <w:top w:val="single" w:sz="8" w:color="0000EE"/>
            </w:tcBorders>
            <w:gridSpan w:val="12"/>
          </w:tcPr>
          <w:p>
            <w:pPr>
              <w:spacing w:after="0"/>
              <w:rPr>
                <w:sz w:val="24"/>
                <w:szCs w:val="24"/>
                <w:color w:val="auto"/>
              </w:rPr>
            </w:pPr>
          </w:p>
        </w:tc>
        <w:tc>
          <w:tcPr>
            <w:tcW w:w="3580" w:type="dxa"/>
            <w:vAlign w:val="bottom"/>
            <w:gridSpan w:val="7"/>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Borders>
              <w:top w:val="single" w:sz="8" w:color="0000EE"/>
              <w:bottom w:val="single" w:sz="8" w:color="0000EE"/>
            </w:tcBorders>
          </w:tcPr>
          <w:p>
            <w:pPr>
              <w:jc w:val="right"/>
              <w:spacing w:after="0"/>
              <w:rPr>
                <w:sz w:val="20"/>
                <w:szCs w:val="20"/>
                <w:color w:val="auto"/>
              </w:rPr>
            </w:pPr>
            <w:r>
              <w:rPr>
                <w:rFonts w:ascii="Arial" w:cs="Arial" w:eastAsia="Arial" w:hAnsi="Arial"/>
                <w:sz w:val="20"/>
                <w:szCs w:val="20"/>
                <w:color w:val="0000EE"/>
                <w:w w:val="89"/>
              </w:rPr>
              <w:t>3</w:t>
            </w:r>
          </w:p>
        </w:tc>
      </w:tr>
      <w:tr>
        <w:trPr>
          <w:trHeight w:val="304"/>
        </w:trPr>
        <w:tc>
          <w:tcPr>
            <w:tcW w:w="1160" w:type="dxa"/>
            <w:vAlign w:val="bottom"/>
          </w:tcPr>
          <w:p>
            <w:pPr>
              <w:spacing w:after="0"/>
              <w:rPr>
                <w:sz w:val="20"/>
                <w:szCs w:val="20"/>
                <w:color w:val="auto"/>
              </w:rPr>
            </w:pPr>
            <w:r>
              <w:rPr>
                <w:rFonts w:ascii="Arial" w:cs="Arial" w:eastAsia="Arial" w:hAnsi="Arial"/>
                <w:sz w:val="20"/>
                <w:szCs w:val="20"/>
                <w:color w:val="0000EE"/>
                <w:w w:val="97"/>
              </w:rPr>
              <w:t>Section 3.01.</w:t>
            </w:r>
          </w:p>
        </w:tc>
        <w:tc>
          <w:tcPr>
            <w:tcW w:w="6260" w:type="dxa"/>
            <w:vAlign w:val="bottom"/>
            <w:gridSpan w:val="21"/>
          </w:tcPr>
          <w:p>
            <w:pPr>
              <w:ind w:left="780"/>
              <w:spacing w:after="0"/>
              <w:rPr>
                <w:sz w:val="20"/>
                <w:szCs w:val="20"/>
                <w:color w:val="auto"/>
              </w:rPr>
            </w:pPr>
            <w:r>
              <w:rPr>
                <w:rFonts w:ascii="Arial" w:cs="Arial" w:eastAsia="Arial" w:hAnsi="Arial"/>
                <w:sz w:val="20"/>
                <w:szCs w:val="20"/>
                <w:color w:val="0000EE"/>
              </w:rPr>
              <w:t>Constitution.</w:t>
            </w:r>
          </w:p>
        </w:tc>
        <w:tc>
          <w:tcPr>
            <w:tcW w:w="1480" w:type="dxa"/>
            <w:vAlign w:val="bottom"/>
            <w:gridSpan w:val="2"/>
          </w:tcPr>
          <w:p>
            <w:pPr>
              <w:jc w:val="right"/>
              <w:spacing w:after="0"/>
              <w:rPr>
                <w:sz w:val="20"/>
                <w:szCs w:val="20"/>
                <w:color w:val="auto"/>
              </w:rPr>
            </w:pPr>
            <w:r>
              <w:rPr>
                <w:rFonts w:ascii="Arial" w:cs="Arial" w:eastAsia="Arial" w:hAnsi="Arial"/>
                <w:sz w:val="20"/>
                <w:szCs w:val="20"/>
                <w:color w:val="0000EE"/>
              </w:rPr>
              <w:t>3</w:t>
            </w:r>
          </w:p>
        </w:tc>
      </w:tr>
      <w:tr>
        <w:trPr>
          <w:trHeight w:val="20"/>
        </w:trPr>
        <w:tc>
          <w:tcPr>
            <w:tcW w:w="11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439"/>
        </w:trPr>
        <w:tc>
          <w:tcPr>
            <w:tcW w:w="1160" w:type="dxa"/>
            <w:vAlign w:val="bottom"/>
          </w:tcPr>
          <w:p>
            <w:pPr>
              <w:spacing w:after="0"/>
              <w:rPr>
                <w:sz w:val="20"/>
                <w:szCs w:val="20"/>
                <w:color w:val="auto"/>
              </w:rPr>
            </w:pPr>
            <w:r>
              <w:rPr>
                <w:rFonts w:ascii="Arial" w:cs="Arial" w:eastAsia="Arial" w:hAnsi="Arial"/>
                <w:sz w:val="20"/>
                <w:szCs w:val="20"/>
                <w:color w:val="0000EE"/>
                <w:w w:val="97"/>
              </w:rPr>
              <w:t>Section 3.02.</w:t>
            </w:r>
          </w:p>
        </w:tc>
        <w:tc>
          <w:tcPr>
            <w:tcW w:w="6260" w:type="dxa"/>
            <w:vAlign w:val="bottom"/>
            <w:gridSpan w:val="21"/>
          </w:tcPr>
          <w:p>
            <w:pPr>
              <w:ind w:left="780"/>
              <w:spacing w:after="0"/>
              <w:rPr>
                <w:sz w:val="20"/>
                <w:szCs w:val="20"/>
                <w:color w:val="auto"/>
              </w:rPr>
            </w:pPr>
            <w:r>
              <w:rPr>
                <w:rFonts w:ascii="Arial" w:cs="Arial" w:eastAsia="Arial" w:hAnsi="Arial"/>
                <w:sz w:val="20"/>
                <w:szCs w:val="20"/>
                <w:color w:val="0000EE"/>
              </w:rPr>
              <w:t>Board Composition.</w:t>
            </w:r>
          </w:p>
        </w:tc>
        <w:tc>
          <w:tcPr>
            <w:tcW w:w="1480" w:type="dxa"/>
            <w:vAlign w:val="bottom"/>
            <w:gridSpan w:val="2"/>
          </w:tcPr>
          <w:p>
            <w:pPr>
              <w:jc w:val="right"/>
              <w:spacing w:after="0"/>
              <w:rPr>
                <w:sz w:val="20"/>
                <w:szCs w:val="20"/>
                <w:color w:val="auto"/>
              </w:rPr>
            </w:pPr>
            <w:r>
              <w:rPr>
                <w:rFonts w:ascii="Arial" w:cs="Arial" w:eastAsia="Arial" w:hAnsi="Arial"/>
                <w:sz w:val="20"/>
                <w:szCs w:val="20"/>
                <w:color w:val="0000EE"/>
              </w:rPr>
              <w:t>4</w:t>
            </w:r>
          </w:p>
        </w:tc>
      </w:tr>
      <w:tr>
        <w:trPr>
          <w:trHeight w:val="20"/>
        </w:trPr>
        <w:tc>
          <w:tcPr>
            <w:tcW w:w="11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453"/>
        </w:trPr>
        <w:tc>
          <w:tcPr>
            <w:tcW w:w="1160" w:type="dxa"/>
            <w:vAlign w:val="bottom"/>
          </w:tcPr>
          <w:p>
            <w:pPr>
              <w:spacing w:after="0"/>
              <w:rPr>
                <w:sz w:val="20"/>
                <w:szCs w:val="20"/>
                <w:color w:val="auto"/>
              </w:rPr>
            </w:pPr>
            <w:r>
              <w:rPr>
                <w:rFonts w:ascii="Arial" w:cs="Arial" w:eastAsia="Arial" w:hAnsi="Arial"/>
                <w:sz w:val="20"/>
                <w:szCs w:val="20"/>
                <w:color w:val="0000EE"/>
                <w:w w:val="97"/>
              </w:rPr>
              <w:t>Section 3.03.</w:t>
            </w:r>
          </w:p>
        </w:tc>
        <w:tc>
          <w:tcPr>
            <w:tcW w:w="6260" w:type="dxa"/>
            <w:vAlign w:val="bottom"/>
            <w:gridSpan w:val="21"/>
          </w:tcPr>
          <w:p>
            <w:pPr>
              <w:ind w:left="780"/>
              <w:spacing w:after="0"/>
              <w:rPr>
                <w:sz w:val="20"/>
                <w:szCs w:val="20"/>
                <w:color w:val="auto"/>
              </w:rPr>
            </w:pPr>
            <w:r>
              <w:rPr>
                <w:rFonts w:ascii="Arial" w:cs="Arial" w:eastAsia="Arial" w:hAnsi="Arial"/>
                <w:sz w:val="20"/>
                <w:szCs w:val="20"/>
                <w:color w:val="0000EE"/>
              </w:rPr>
              <w:t>Powers and Duties.</w:t>
            </w:r>
          </w:p>
        </w:tc>
        <w:tc>
          <w:tcPr>
            <w:tcW w:w="1480" w:type="dxa"/>
            <w:vAlign w:val="bottom"/>
            <w:gridSpan w:val="2"/>
          </w:tcPr>
          <w:p>
            <w:pPr>
              <w:jc w:val="right"/>
              <w:spacing w:after="0"/>
              <w:rPr>
                <w:sz w:val="20"/>
                <w:szCs w:val="20"/>
                <w:color w:val="auto"/>
              </w:rPr>
            </w:pPr>
            <w:r>
              <w:rPr>
                <w:rFonts w:ascii="Arial" w:cs="Arial" w:eastAsia="Arial" w:hAnsi="Arial"/>
                <w:sz w:val="20"/>
                <w:szCs w:val="20"/>
                <w:color w:val="0000EE"/>
              </w:rPr>
              <w:t>4</w:t>
            </w:r>
          </w:p>
        </w:tc>
      </w:tr>
      <w:tr>
        <w:trPr>
          <w:trHeight w:val="20"/>
        </w:trPr>
        <w:tc>
          <w:tcPr>
            <w:tcW w:w="11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453"/>
        </w:trPr>
        <w:tc>
          <w:tcPr>
            <w:tcW w:w="1160" w:type="dxa"/>
            <w:vAlign w:val="bottom"/>
          </w:tcPr>
          <w:p>
            <w:pPr>
              <w:spacing w:after="0"/>
              <w:rPr>
                <w:sz w:val="20"/>
                <w:szCs w:val="20"/>
                <w:color w:val="auto"/>
              </w:rPr>
            </w:pPr>
            <w:r>
              <w:rPr>
                <w:rFonts w:ascii="Arial" w:cs="Arial" w:eastAsia="Arial" w:hAnsi="Arial"/>
                <w:sz w:val="20"/>
                <w:szCs w:val="20"/>
                <w:color w:val="0000EE"/>
                <w:w w:val="97"/>
              </w:rPr>
              <w:t>Section 3.04.</w:t>
            </w:r>
          </w:p>
        </w:tc>
        <w:tc>
          <w:tcPr>
            <w:tcW w:w="6260" w:type="dxa"/>
            <w:vAlign w:val="bottom"/>
            <w:gridSpan w:val="21"/>
          </w:tcPr>
          <w:p>
            <w:pPr>
              <w:ind w:left="780"/>
              <w:spacing w:after="0"/>
              <w:rPr>
                <w:sz w:val="20"/>
                <w:szCs w:val="20"/>
                <w:color w:val="auto"/>
              </w:rPr>
            </w:pPr>
            <w:r>
              <w:rPr>
                <w:rFonts w:ascii="Arial" w:cs="Arial" w:eastAsia="Arial" w:hAnsi="Arial"/>
                <w:sz w:val="20"/>
                <w:szCs w:val="20"/>
                <w:color w:val="0000EE"/>
              </w:rPr>
              <w:t>Delegation of Management.</w:t>
            </w:r>
          </w:p>
        </w:tc>
        <w:tc>
          <w:tcPr>
            <w:tcW w:w="1480" w:type="dxa"/>
            <w:vAlign w:val="bottom"/>
            <w:gridSpan w:val="2"/>
          </w:tcPr>
          <w:p>
            <w:pPr>
              <w:jc w:val="right"/>
              <w:spacing w:after="0"/>
              <w:rPr>
                <w:sz w:val="20"/>
                <w:szCs w:val="20"/>
                <w:color w:val="auto"/>
              </w:rPr>
            </w:pPr>
            <w:r>
              <w:rPr>
                <w:rFonts w:ascii="Arial" w:cs="Arial" w:eastAsia="Arial" w:hAnsi="Arial"/>
                <w:sz w:val="20"/>
                <w:szCs w:val="20"/>
                <w:color w:val="0000EE"/>
              </w:rPr>
              <w:t>5</w:t>
            </w:r>
          </w:p>
        </w:tc>
      </w:tr>
      <w:tr>
        <w:trPr>
          <w:trHeight w:val="20"/>
        </w:trPr>
        <w:tc>
          <w:tcPr>
            <w:tcW w:w="11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439"/>
        </w:trPr>
        <w:tc>
          <w:tcPr>
            <w:tcW w:w="1160" w:type="dxa"/>
            <w:vAlign w:val="bottom"/>
          </w:tcPr>
          <w:p>
            <w:pPr>
              <w:spacing w:after="0"/>
              <w:rPr>
                <w:sz w:val="20"/>
                <w:szCs w:val="20"/>
                <w:color w:val="auto"/>
              </w:rPr>
            </w:pPr>
            <w:r>
              <w:rPr>
                <w:rFonts w:ascii="Arial" w:cs="Arial" w:eastAsia="Arial" w:hAnsi="Arial"/>
                <w:sz w:val="20"/>
                <w:szCs w:val="20"/>
                <w:color w:val="0000EE"/>
                <w:w w:val="97"/>
              </w:rPr>
              <w:t>Section 3.05.</w:t>
            </w:r>
          </w:p>
        </w:tc>
        <w:tc>
          <w:tcPr>
            <w:tcW w:w="6260" w:type="dxa"/>
            <w:vAlign w:val="bottom"/>
            <w:gridSpan w:val="21"/>
          </w:tcPr>
          <w:p>
            <w:pPr>
              <w:ind w:left="780"/>
              <w:spacing w:after="0"/>
              <w:rPr>
                <w:sz w:val="20"/>
                <w:szCs w:val="20"/>
                <w:color w:val="auto"/>
              </w:rPr>
            </w:pPr>
            <w:r>
              <w:rPr>
                <w:rFonts w:ascii="Arial" w:cs="Arial" w:eastAsia="Arial" w:hAnsi="Arial"/>
                <w:sz w:val="20"/>
                <w:szCs w:val="20"/>
                <w:color w:val="0000EE"/>
              </w:rPr>
              <w:t>Meetings.</w:t>
            </w:r>
          </w:p>
        </w:tc>
        <w:tc>
          <w:tcPr>
            <w:tcW w:w="1480" w:type="dxa"/>
            <w:vAlign w:val="bottom"/>
            <w:gridSpan w:val="2"/>
          </w:tcPr>
          <w:p>
            <w:pPr>
              <w:jc w:val="right"/>
              <w:spacing w:after="0"/>
              <w:rPr>
                <w:sz w:val="20"/>
                <w:szCs w:val="20"/>
                <w:color w:val="auto"/>
              </w:rPr>
            </w:pPr>
            <w:r>
              <w:rPr>
                <w:rFonts w:ascii="Arial" w:cs="Arial" w:eastAsia="Arial" w:hAnsi="Arial"/>
                <w:sz w:val="20"/>
                <w:szCs w:val="20"/>
                <w:color w:val="0000EE"/>
              </w:rPr>
              <w:t>5</w:t>
            </w:r>
          </w:p>
        </w:tc>
      </w:tr>
      <w:tr>
        <w:trPr>
          <w:trHeight w:val="20"/>
        </w:trPr>
        <w:tc>
          <w:tcPr>
            <w:tcW w:w="11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453"/>
        </w:trPr>
        <w:tc>
          <w:tcPr>
            <w:tcW w:w="1160" w:type="dxa"/>
            <w:vAlign w:val="bottom"/>
          </w:tcPr>
          <w:p>
            <w:pPr>
              <w:spacing w:after="0"/>
              <w:rPr>
                <w:sz w:val="20"/>
                <w:szCs w:val="20"/>
                <w:color w:val="auto"/>
              </w:rPr>
            </w:pPr>
            <w:r>
              <w:rPr>
                <w:rFonts w:ascii="Arial" w:cs="Arial" w:eastAsia="Arial" w:hAnsi="Arial"/>
                <w:sz w:val="20"/>
                <w:szCs w:val="20"/>
                <w:color w:val="0000EE"/>
                <w:w w:val="97"/>
              </w:rPr>
              <w:t>Section 3.06.</w:t>
            </w:r>
          </w:p>
        </w:tc>
        <w:tc>
          <w:tcPr>
            <w:tcW w:w="6260" w:type="dxa"/>
            <w:vAlign w:val="bottom"/>
            <w:gridSpan w:val="21"/>
          </w:tcPr>
          <w:p>
            <w:pPr>
              <w:ind w:left="780"/>
              <w:spacing w:after="0"/>
              <w:rPr>
                <w:sz w:val="20"/>
                <w:szCs w:val="20"/>
                <w:color w:val="auto"/>
              </w:rPr>
            </w:pPr>
            <w:r>
              <w:rPr>
                <w:rFonts w:ascii="Arial" w:cs="Arial" w:eastAsia="Arial" w:hAnsi="Arial"/>
                <w:sz w:val="20"/>
                <w:szCs w:val="20"/>
                <w:color w:val="0000EE"/>
              </w:rPr>
              <w:t>Attendance Quorum; Resolutions and Minutes.</w:t>
            </w:r>
          </w:p>
        </w:tc>
        <w:tc>
          <w:tcPr>
            <w:tcW w:w="1480" w:type="dxa"/>
            <w:vAlign w:val="bottom"/>
            <w:gridSpan w:val="2"/>
          </w:tcPr>
          <w:p>
            <w:pPr>
              <w:jc w:val="right"/>
              <w:spacing w:after="0"/>
              <w:rPr>
                <w:sz w:val="20"/>
                <w:szCs w:val="20"/>
                <w:color w:val="auto"/>
              </w:rPr>
            </w:pPr>
            <w:r>
              <w:rPr>
                <w:rFonts w:ascii="Arial" w:cs="Arial" w:eastAsia="Arial" w:hAnsi="Arial"/>
                <w:sz w:val="20"/>
                <w:szCs w:val="20"/>
                <w:color w:val="0000EE"/>
              </w:rPr>
              <w:t>6</w:t>
            </w:r>
          </w:p>
        </w:tc>
      </w:tr>
      <w:tr>
        <w:trPr>
          <w:trHeight w:val="20"/>
        </w:trPr>
        <w:tc>
          <w:tcPr>
            <w:tcW w:w="11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453"/>
        </w:trPr>
        <w:tc>
          <w:tcPr>
            <w:tcW w:w="1160" w:type="dxa"/>
            <w:vAlign w:val="bottom"/>
          </w:tcPr>
          <w:p>
            <w:pPr>
              <w:spacing w:after="0"/>
              <w:rPr>
                <w:sz w:val="20"/>
                <w:szCs w:val="20"/>
                <w:color w:val="auto"/>
              </w:rPr>
            </w:pPr>
            <w:r>
              <w:rPr>
                <w:rFonts w:ascii="Arial" w:cs="Arial" w:eastAsia="Arial" w:hAnsi="Arial"/>
                <w:sz w:val="20"/>
                <w:szCs w:val="20"/>
                <w:color w:val="0000EE"/>
                <w:w w:val="97"/>
              </w:rPr>
              <w:t>Section 3.07.</w:t>
            </w:r>
          </w:p>
        </w:tc>
        <w:tc>
          <w:tcPr>
            <w:tcW w:w="6260" w:type="dxa"/>
            <w:vAlign w:val="bottom"/>
            <w:gridSpan w:val="21"/>
          </w:tcPr>
          <w:p>
            <w:pPr>
              <w:ind w:left="780"/>
              <w:spacing w:after="0"/>
              <w:rPr>
                <w:sz w:val="20"/>
                <w:szCs w:val="20"/>
                <w:color w:val="auto"/>
              </w:rPr>
            </w:pPr>
            <w:r>
              <w:rPr>
                <w:rFonts w:ascii="Arial" w:cs="Arial" w:eastAsia="Arial" w:hAnsi="Arial"/>
                <w:sz w:val="20"/>
                <w:szCs w:val="20"/>
                <w:color w:val="0000EE"/>
              </w:rPr>
              <w:t>Information and Reporting.</w:t>
            </w:r>
          </w:p>
        </w:tc>
        <w:tc>
          <w:tcPr>
            <w:tcW w:w="1480" w:type="dxa"/>
            <w:vAlign w:val="bottom"/>
            <w:gridSpan w:val="2"/>
          </w:tcPr>
          <w:p>
            <w:pPr>
              <w:jc w:val="right"/>
              <w:spacing w:after="0"/>
              <w:rPr>
                <w:sz w:val="20"/>
                <w:szCs w:val="20"/>
                <w:color w:val="auto"/>
              </w:rPr>
            </w:pPr>
            <w:r>
              <w:rPr>
                <w:rFonts w:ascii="Arial" w:cs="Arial" w:eastAsia="Arial" w:hAnsi="Arial"/>
                <w:sz w:val="20"/>
                <w:szCs w:val="20"/>
                <w:color w:val="0000EE"/>
              </w:rPr>
              <w:t>6</w:t>
            </w:r>
          </w:p>
        </w:tc>
      </w:tr>
      <w:tr>
        <w:trPr>
          <w:trHeight w:val="20"/>
        </w:trPr>
        <w:tc>
          <w:tcPr>
            <w:tcW w:w="11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439"/>
        </w:trPr>
        <w:tc>
          <w:tcPr>
            <w:tcW w:w="1160" w:type="dxa"/>
            <w:vAlign w:val="bottom"/>
          </w:tcPr>
          <w:p>
            <w:pPr>
              <w:spacing w:after="0"/>
              <w:rPr>
                <w:sz w:val="20"/>
                <w:szCs w:val="20"/>
                <w:color w:val="auto"/>
              </w:rPr>
            </w:pPr>
            <w:r>
              <w:rPr>
                <w:rFonts w:ascii="Arial" w:cs="Arial" w:eastAsia="Arial" w:hAnsi="Arial"/>
                <w:sz w:val="20"/>
                <w:szCs w:val="20"/>
                <w:color w:val="0000EE"/>
                <w:w w:val="97"/>
              </w:rPr>
              <w:t>Section 3.08.</w:t>
            </w:r>
          </w:p>
        </w:tc>
        <w:tc>
          <w:tcPr>
            <w:tcW w:w="6260" w:type="dxa"/>
            <w:vAlign w:val="bottom"/>
            <w:gridSpan w:val="21"/>
          </w:tcPr>
          <w:p>
            <w:pPr>
              <w:ind w:left="780"/>
              <w:spacing w:after="0"/>
              <w:rPr>
                <w:sz w:val="20"/>
                <w:szCs w:val="20"/>
                <w:color w:val="auto"/>
              </w:rPr>
            </w:pPr>
            <w:r>
              <w:rPr>
                <w:rFonts w:ascii="Arial" w:cs="Arial" w:eastAsia="Arial" w:hAnsi="Arial"/>
                <w:sz w:val="20"/>
                <w:szCs w:val="20"/>
                <w:color w:val="0000EE"/>
              </w:rPr>
              <w:t>Compensation.</w:t>
            </w:r>
          </w:p>
        </w:tc>
        <w:tc>
          <w:tcPr>
            <w:tcW w:w="1480" w:type="dxa"/>
            <w:vAlign w:val="bottom"/>
            <w:gridSpan w:val="2"/>
          </w:tcPr>
          <w:p>
            <w:pPr>
              <w:jc w:val="right"/>
              <w:spacing w:after="0"/>
              <w:rPr>
                <w:sz w:val="20"/>
                <w:szCs w:val="20"/>
                <w:color w:val="auto"/>
              </w:rPr>
            </w:pPr>
            <w:r>
              <w:rPr>
                <w:rFonts w:ascii="Arial" w:cs="Arial" w:eastAsia="Arial" w:hAnsi="Arial"/>
                <w:sz w:val="20"/>
                <w:szCs w:val="20"/>
                <w:color w:val="0000EE"/>
              </w:rPr>
              <w:t>6</w:t>
            </w:r>
          </w:p>
        </w:tc>
      </w:tr>
      <w:tr>
        <w:trPr>
          <w:trHeight w:val="20"/>
        </w:trPr>
        <w:tc>
          <w:tcPr>
            <w:tcW w:w="11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453"/>
        </w:trPr>
        <w:tc>
          <w:tcPr>
            <w:tcW w:w="5020" w:type="dxa"/>
            <w:vAlign w:val="bottom"/>
            <w:tcBorders>
              <w:bottom w:val="single" w:sz="8" w:color="0000EE"/>
            </w:tcBorders>
            <w:gridSpan w:val="20"/>
          </w:tcPr>
          <w:p>
            <w:pPr>
              <w:spacing w:after="0"/>
              <w:rPr>
                <w:sz w:val="20"/>
                <w:szCs w:val="20"/>
                <w:color w:val="auto"/>
              </w:rPr>
            </w:pPr>
            <w:r>
              <w:rPr>
                <w:rFonts w:ascii="Arial" w:cs="Arial" w:eastAsia="Arial" w:hAnsi="Arial"/>
                <w:sz w:val="20"/>
                <w:szCs w:val="20"/>
                <w:color w:val="0000EE"/>
                <w:highlight w:val="white"/>
                <w:w w:val="98"/>
              </w:rPr>
              <w:t>ARTICLE 4 CHAIRPERSON AND VICE-CHAIRPERSON</w:t>
            </w:r>
          </w:p>
        </w:tc>
        <w:tc>
          <w:tcPr>
            <w:tcW w:w="2400" w:type="dxa"/>
            <w:vAlign w:val="bottom"/>
            <w:gridSpan w:val="2"/>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Borders>
              <w:bottom w:val="single" w:sz="8" w:color="0000EE"/>
            </w:tcBorders>
          </w:tcPr>
          <w:p>
            <w:pPr>
              <w:jc w:val="right"/>
              <w:spacing w:after="0"/>
              <w:rPr>
                <w:sz w:val="20"/>
                <w:szCs w:val="20"/>
                <w:color w:val="auto"/>
              </w:rPr>
            </w:pPr>
            <w:r>
              <w:rPr>
                <w:rFonts w:ascii="Arial" w:cs="Arial" w:eastAsia="Arial" w:hAnsi="Arial"/>
                <w:sz w:val="20"/>
                <w:szCs w:val="20"/>
                <w:color w:val="0000EE"/>
                <w:w w:val="89"/>
              </w:rPr>
              <w:t>7</w:t>
            </w:r>
          </w:p>
        </w:tc>
      </w:tr>
      <w:tr>
        <w:trPr>
          <w:trHeight w:val="304"/>
        </w:trPr>
        <w:tc>
          <w:tcPr>
            <w:tcW w:w="1160" w:type="dxa"/>
            <w:vAlign w:val="bottom"/>
          </w:tcPr>
          <w:p>
            <w:pPr>
              <w:spacing w:after="0"/>
              <w:rPr>
                <w:sz w:val="20"/>
                <w:szCs w:val="20"/>
                <w:color w:val="auto"/>
              </w:rPr>
            </w:pPr>
            <w:r>
              <w:rPr>
                <w:rFonts w:ascii="Arial" w:cs="Arial" w:eastAsia="Arial" w:hAnsi="Arial"/>
                <w:sz w:val="20"/>
                <w:szCs w:val="20"/>
                <w:color w:val="0000EE"/>
                <w:w w:val="97"/>
              </w:rPr>
              <w:t>Section 4.01.</w:t>
            </w:r>
          </w:p>
        </w:tc>
        <w:tc>
          <w:tcPr>
            <w:tcW w:w="6260" w:type="dxa"/>
            <w:vAlign w:val="bottom"/>
            <w:gridSpan w:val="21"/>
          </w:tcPr>
          <w:p>
            <w:pPr>
              <w:ind w:left="780"/>
              <w:spacing w:after="0"/>
              <w:rPr>
                <w:sz w:val="20"/>
                <w:szCs w:val="20"/>
                <w:color w:val="auto"/>
              </w:rPr>
            </w:pPr>
            <w:r>
              <w:rPr>
                <w:rFonts w:ascii="Arial" w:cs="Arial" w:eastAsia="Arial" w:hAnsi="Arial"/>
                <w:sz w:val="20"/>
                <w:szCs w:val="20"/>
                <w:color w:val="0000EE"/>
              </w:rPr>
              <w:t>Power and Duties.</w:t>
            </w:r>
          </w:p>
        </w:tc>
        <w:tc>
          <w:tcPr>
            <w:tcW w:w="1480" w:type="dxa"/>
            <w:vAlign w:val="bottom"/>
            <w:gridSpan w:val="2"/>
          </w:tcPr>
          <w:p>
            <w:pPr>
              <w:jc w:val="right"/>
              <w:spacing w:after="0"/>
              <w:rPr>
                <w:sz w:val="20"/>
                <w:szCs w:val="20"/>
                <w:color w:val="auto"/>
              </w:rPr>
            </w:pPr>
            <w:r>
              <w:rPr>
                <w:rFonts w:ascii="Arial" w:cs="Arial" w:eastAsia="Arial" w:hAnsi="Arial"/>
                <w:sz w:val="20"/>
                <w:szCs w:val="20"/>
                <w:color w:val="0000EE"/>
              </w:rPr>
              <w:t>7</w:t>
            </w:r>
          </w:p>
        </w:tc>
      </w:tr>
      <w:tr>
        <w:trPr>
          <w:trHeight w:val="20"/>
        </w:trPr>
        <w:tc>
          <w:tcPr>
            <w:tcW w:w="11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80" w:type="dxa"/>
            <w:vAlign w:val="bottom"/>
            <w:gridSpan w:val="5"/>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453"/>
        </w:trPr>
        <w:tc>
          <w:tcPr>
            <w:tcW w:w="1160" w:type="dxa"/>
            <w:vAlign w:val="bottom"/>
          </w:tcPr>
          <w:p>
            <w:pPr>
              <w:spacing w:after="0"/>
              <w:rPr>
                <w:sz w:val="20"/>
                <w:szCs w:val="20"/>
                <w:color w:val="auto"/>
              </w:rPr>
            </w:pPr>
            <w:r>
              <w:rPr>
                <w:rFonts w:ascii="Arial" w:cs="Arial" w:eastAsia="Arial" w:hAnsi="Arial"/>
                <w:sz w:val="20"/>
                <w:szCs w:val="20"/>
                <w:color w:val="0000EE"/>
                <w:w w:val="97"/>
              </w:rPr>
              <w:t>Section 4.02.</w:t>
            </w:r>
          </w:p>
        </w:tc>
        <w:tc>
          <w:tcPr>
            <w:tcW w:w="6260" w:type="dxa"/>
            <w:vAlign w:val="bottom"/>
            <w:gridSpan w:val="21"/>
          </w:tcPr>
          <w:p>
            <w:pPr>
              <w:ind w:left="780"/>
              <w:spacing w:after="0"/>
              <w:rPr>
                <w:sz w:val="20"/>
                <w:szCs w:val="20"/>
                <w:color w:val="auto"/>
              </w:rPr>
            </w:pPr>
            <w:r>
              <w:rPr>
                <w:rFonts w:ascii="Arial" w:cs="Arial" w:eastAsia="Arial" w:hAnsi="Arial"/>
                <w:sz w:val="20"/>
                <w:szCs w:val="20"/>
                <w:color w:val="0000EE"/>
              </w:rPr>
              <w:t>Authority.</w:t>
            </w:r>
          </w:p>
        </w:tc>
        <w:tc>
          <w:tcPr>
            <w:tcW w:w="1480" w:type="dxa"/>
            <w:vAlign w:val="bottom"/>
            <w:gridSpan w:val="2"/>
          </w:tcPr>
          <w:p>
            <w:pPr>
              <w:jc w:val="right"/>
              <w:spacing w:after="0"/>
              <w:rPr>
                <w:sz w:val="20"/>
                <w:szCs w:val="20"/>
                <w:color w:val="auto"/>
              </w:rPr>
            </w:pPr>
            <w:r>
              <w:rPr>
                <w:rFonts w:ascii="Arial" w:cs="Arial" w:eastAsia="Arial" w:hAnsi="Arial"/>
                <w:sz w:val="20"/>
                <w:szCs w:val="20"/>
                <w:color w:val="0000EE"/>
              </w:rPr>
              <w:t>7</w:t>
            </w:r>
          </w:p>
        </w:tc>
      </w:tr>
      <w:tr>
        <w:trPr>
          <w:trHeight w:val="20"/>
        </w:trPr>
        <w:tc>
          <w:tcPr>
            <w:tcW w:w="11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80" w:type="dxa"/>
            <w:vAlign w:val="bottom"/>
            <w:gridSpan w:val="5"/>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439"/>
        </w:trPr>
        <w:tc>
          <w:tcPr>
            <w:tcW w:w="4140" w:type="dxa"/>
            <w:vAlign w:val="bottom"/>
            <w:tcBorders>
              <w:bottom w:val="single" w:sz="8" w:color="0000EE"/>
            </w:tcBorders>
            <w:gridSpan w:val="17"/>
          </w:tcPr>
          <w:p>
            <w:pPr>
              <w:spacing w:after="0"/>
              <w:rPr>
                <w:sz w:val="20"/>
                <w:szCs w:val="20"/>
                <w:color w:val="auto"/>
              </w:rPr>
            </w:pPr>
            <w:r>
              <w:rPr>
                <w:rFonts w:ascii="Arial" w:cs="Arial" w:eastAsia="Arial" w:hAnsi="Arial"/>
                <w:sz w:val="20"/>
                <w:szCs w:val="20"/>
                <w:color w:val="0000EE"/>
                <w:highlight w:val="white"/>
                <w:w w:val="98"/>
              </w:rPr>
              <w:t>ARTICLE 5 LEAD INDEPENDENT DIRECTOR</w:t>
            </w:r>
          </w:p>
        </w:tc>
        <w:tc>
          <w:tcPr>
            <w:tcW w:w="3280" w:type="dxa"/>
            <w:vAlign w:val="bottom"/>
            <w:gridSpan w:val="5"/>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Borders>
              <w:bottom w:val="single" w:sz="8" w:color="0000EE"/>
            </w:tcBorders>
          </w:tcPr>
          <w:p>
            <w:pPr>
              <w:jc w:val="right"/>
              <w:spacing w:after="0"/>
              <w:rPr>
                <w:sz w:val="20"/>
                <w:szCs w:val="20"/>
                <w:color w:val="auto"/>
              </w:rPr>
            </w:pPr>
            <w:r>
              <w:rPr>
                <w:rFonts w:ascii="Arial" w:cs="Arial" w:eastAsia="Arial" w:hAnsi="Arial"/>
                <w:sz w:val="20"/>
                <w:szCs w:val="20"/>
                <w:color w:val="0000EE"/>
                <w:w w:val="89"/>
              </w:rPr>
              <w:t>7</w:t>
            </w:r>
          </w:p>
        </w:tc>
      </w:tr>
      <w:tr>
        <w:trPr>
          <w:trHeight w:val="304"/>
        </w:trPr>
        <w:tc>
          <w:tcPr>
            <w:tcW w:w="1160" w:type="dxa"/>
            <w:vAlign w:val="bottom"/>
          </w:tcPr>
          <w:p>
            <w:pPr>
              <w:spacing w:after="0"/>
              <w:rPr>
                <w:sz w:val="20"/>
                <w:szCs w:val="20"/>
                <w:color w:val="auto"/>
              </w:rPr>
            </w:pPr>
            <w:r>
              <w:rPr>
                <w:rFonts w:ascii="Arial" w:cs="Arial" w:eastAsia="Arial" w:hAnsi="Arial"/>
                <w:sz w:val="20"/>
                <w:szCs w:val="20"/>
                <w:color w:val="0000EE"/>
                <w:w w:val="97"/>
              </w:rPr>
              <w:t>Section 5.01.</w:t>
            </w:r>
          </w:p>
        </w:tc>
        <w:tc>
          <w:tcPr>
            <w:tcW w:w="6260" w:type="dxa"/>
            <w:vAlign w:val="bottom"/>
            <w:gridSpan w:val="21"/>
          </w:tcPr>
          <w:p>
            <w:pPr>
              <w:ind w:left="780"/>
              <w:spacing w:after="0"/>
              <w:rPr>
                <w:sz w:val="20"/>
                <w:szCs w:val="20"/>
                <w:color w:val="auto"/>
              </w:rPr>
            </w:pPr>
            <w:r>
              <w:rPr>
                <w:rFonts w:ascii="Arial" w:cs="Arial" w:eastAsia="Arial" w:hAnsi="Arial"/>
                <w:sz w:val="20"/>
                <w:szCs w:val="20"/>
                <w:color w:val="0000EE"/>
              </w:rPr>
              <w:t>Power and Duties.</w:t>
            </w:r>
          </w:p>
        </w:tc>
        <w:tc>
          <w:tcPr>
            <w:tcW w:w="1480" w:type="dxa"/>
            <w:vAlign w:val="bottom"/>
            <w:gridSpan w:val="2"/>
          </w:tcPr>
          <w:p>
            <w:pPr>
              <w:jc w:val="right"/>
              <w:spacing w:after="0"/>
              <w:rPr>
                <w:sz w:val="20"/>
                <w:szCs w:val="20"/>
                <w:color w:val="auto"/>
              </w:rPr>
            </w:pPr>
            <w:r>
              <w:rPr>
                <w:rFonts w:ascii="Arial" w:cs="Arial" w:eastAsia="Arial" w:hAnsi="Arial"/>
                <w:sz w:val="20"/>
                <w:szCs w:val="20"/>
                <w:color w:val="0000EE"/>
              </w:rPr>
              <w:t>7</w:t>
            </w:r>
          </w:p>
        </w:tc>
      </w:tr>
      <w:tr>
        <w:trPr>
          <w:trHeight w:val="20"/>
        </w:trPr>
        <w:tc>
          <w:tcPr>
            <w:tcW w:w="11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48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480" w:type="dxa"/>
            <w:vAlign w:val="bottom"/>
            <w:gridSpan w:val="6"/>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452"/>
        </w:trPr>
        <w:tc>
          <w:tcPr>
            <w:tcW w:w="1160" w:type="dxa"/>
            <w:vAlign w:val="bottom"/>
          </w:tcPr>
          <w:p>
            <w:pPr>
              <w:spacing w:after="0"/>
              <w:rPr>
                <w:sz w:val="20"/>
                <w:szCs w:val="20"/>
                <w:color w:val="auto"/>
              </w:rPr>
            </w:pPr>
            <w:r>
              <w:rPr>
                <w:rFonts w:ascii="Arial" w:cs="Arial" w:eastAsia="Arial" w:hAnsi="Arial"/>
                <w:sz w:val="20"/>
                <w:szCs w:val="20"/>
                <w:color w:val="0000EE"/>
                <w:w w:val="97"/>
              </w:rPr>
              <w:t>Section 5.02.</w:t>
            </w:r>
          </w:p>
        </w:tc>
        <w:tc>
          <w:tcPr>
            <w:tcW w:w="6260" w:type="dxa"/>
            <w:vAlign w:val="bottom"/>
            <w:gridSpan w:val="21"/>
          </w:tcPr>
          <w:p>
            <w:pPr>
              <w:ind w:left="780"/>
              <w:spacing w:after="0"/>
              <w:rPr>
                <w:sz w:val="20"/>
                <w:szCs w:val="20"/>
                <w:color w:val="auto"/>
              </w:rPr>
            </w:pPr>
            <w:r>
              <w:rPr>
                <w:rFonts w:ascii="Arial" w:cs="Arial" w:eastAsia="Arial" w:hAnsi="Arial"/>
                <w:sz w:val="20"/>
                <w:szCs w:val="20"/>
                <w:color w:val="0000EE"/>
              </w:rPr>
              <w:t>Authority.</w:t>
            </w:r>
          </w:p>
        </w:tc>
        <w:tc>
          <w:tcPr>
            <w:tcW w:w="1480" w:type="dxa"/>
            <w:vAlign w:val="bottom"/>
            <w:gridSpan w:val="2"/>
          </w:tcPr>
          <w:p>
            <w:pPr>
              <w:jc w:val="right"/>
              <w:spacing w:after="0"/>
              <w:rPr>
                <w:sz w:val="20"/>
                <w:szCs w:val="20"/>
                <w:color w:val="auto"/>
              </w:rPr>
            </w:pPr>
            <w:r>
              <w:rPr>
                <w:rFonts w:ascii="Arial" w:cs="Arial" w:eastAsia="Arial" w:hAnsi="Arial"/>
                <w:sz w:val="20"/>
                <w:szCs w:val="20"/>
                <w:color w:val="0000EE"/>
              </w:rPr>
              <w:t>7</w:t>
            </w:r>
          </w:p>
        </w:tc>
      </w:tr>
      <w:tr>
        <w:trPr>
          <w:trHeight w:val="20"/>
        </w:trPr>
        <w:tc>
          <w:tcPr>
            <w:tcW w:w="11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480" w:type="dxa"/>
            <w:vAlign w:val="bottom"/>
            <w:gridSpan w:val="6"/>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453"/>
        </w:trPr>
        <w:tc>
          <w:tcPr>
            <w:tcW w:w="3160" w:type="dxa"/>
            <w:vAlign w:val="bottom"/>
            <w:tcBorders>
              <w:bottom w:val="single" w:sz="8" w:color="0000EE"/>
            </w:tcBorders>
            <w:gridSpan w:val="10"/>
          </w:tcPr>
          <w:p>
            <w:pPr>
              <w:spacing w:after="0"/>
              <w:rPr>
                <w:sz w:val="20"/>
                <w:szCs w:val="20"/>
                <w:color w:val="auto"/>
              </w:rPr>
            </w:pPr>
            <w:r>
              <w:rPr>
                <w:rFonts w:ascii="Arial" w:cs="Arial" w:eastAsia="Arial" w:hAnsi="Arial"/>
                <w:sz w:val="20"/>
                <w:szCs w:val="20"/>
                <w:color w:val="0000EE"/>
                <w:highlight w:val="white"/>
                <w:w w:val="98"/>
              </w:rPr>
              <w:t>ARTICLE 6 BOARD COMMITTEES</w:t>
            </w:r>
          </w:p>
        </w:tc>
        <w:tc>
          <w:tcPr>
            <w:tcW w:w="4260" w:type="dxa"/>
            <w:vAlign w:val="bottom"/>
            <w:gridSpan w:val="12"/>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Borders>
              <w:bottom w:val="single" w:sz="8" w:color="0000EE"/>
            </w:tcBorders>
          </w:tcPr>
          <w:p>
            <w:pPr>
              <w:jc w:val="right"/>
              <w:spacing w:after="0"/>
              <w:rPr>
                <w:sz w:val="20"/>
                <w:szCs w:val="20"/>
                <w:color w:val="auto"/>
              </w:rPr>
            </w:pPr>
            <w:r>
              <w:rPr>
                <w:rFonts w:ascii="Arial" w:cs="Arial" w:eastAsia="Arial" w:hAnsi="Arial"/>
                <w:sz w:val="20"/>
                <w:szCs w:val="20"/>
                <w:color w:val="0000EE"/>
                <w:w w:val="89"/>
              </w:rPr>
              <w:t>8</w:t>
            </w:r>
          </w:p>
        </w:tc>
      </w:tr>
      <w:tr>
        <w:trPr>
          <w:trHeight w:val="304"/>
        </w:trPr>
        <w:tc>
          <w:tcPr>
            <w:tcW w:w="1160" w:type="dxa"/>
            <w:vAlign w:val="bottom"/>
          </w:tcPr>
          <w:p>
            <w:pPr>
              <w:spacing w:after="0"/>
              <w:rPr>
                <w:sz w:val="20"/>
                <w:szCs w:val="20"/>
                <w:color w:val="auto"/>
              </w:rPr>
            </w:pPr>
            <w:r>
              <w:rPr>
                <w:rFonts w:ascii="Arial" w:cs="Arial" w:eastAsia="Arial" w:hAnsi="Arial"/>
                <w:sz w:val="20"/>
                <w:szCs w:val="20"/>
                <w:color w:val="0000EE"/>
                <w:w w:val="97"/>
              </w:rPr>
              <w:t>Section 6.01.</w:t>
            </w:r>
          </w:p>
        </w:tc>
        <w:tc>
          <w:tcPr>
            <w:tcW w:w="6260" w:type="dxa"/>
            <w:vAlign w:val="bottom"/>
            <w:gridSpan w:val="21"/>
          </w:tcPr>
          <w:p>
            <w:pPr>
              <w:ind w:left="780"/>
              <w:spacing w:after="0"/>
              <w:rPr>
                <w:sz w:val="20"/>
                <w:szCs w:val="20"/>
                <w:color w:val="auto"/>
              </w:rPr>
            </w:pPr>
            <w:r>
              <w:rPr>
                <w:rFonts w:ascii="Arial" w:cs="Arial" w:eastAsia="Arial" w:hAnsi="Arial"/>
                <w:sz w:val="20"/>
                <w:szCs w:val="20"/>
                <w:color w:val="0000EE"/>
              </w:rPr>
              <w:t>General.</w:t>
            </w:r>
          </w:p>
        </w:tc>
        <w:tc>
          <w:tcPr>
            <w:tcW w:w="1480" w:type="dxa"/>
            <w:vAlign w:val="bottom"/>
            <w:gridSpan w:val="2"/>
          </w:tcPr>
          <w:p>
            <w:pPr>
              <w:jc w:val="right"/>
              <w:spacing w:after="0"/>
              <w:rPr>
                <w:sz w:val="20"/>
                <w:szCs w:val="20"/>
                <w:color w:val="auto"/>
              </w:rPr>
            </w:pPr>
            <w:r>
              <w:rPr>
                <w:rFonts w:ascii="Arial" w:cs="Arial" w:eastAsia="Arial" w:hAnsi="Arial"/>
                <w:sz w:val="20"/>
                <w:szCs w:val="20"/>
                <w:color w:val="0000EE"/>
              </w:rPr>
              <w:t>8</w:t>
            </w:r>
          </w:p>
        </w:tc>
      </w:tr>
      <w:tr>
        <w:trPr>
          <w:trHeight w:val="20"/>
        </w:trPr>
        <w:tc>
          <w:tcPr>
            <w:tcW w:w="11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1060" w:type="dxa"/>
            <w:vAlign w:val="bottom"/>
            <w:gridSpan w:val="8"/>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480" w:type="dxa"/>
            <w:vAlign w:val="bottom"/>
            <w:gridSpan w:val="6"/>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439"/>
        </w:trPr>
        <w:tc>
          <w:tcPr>
            <w:tcW w:w="1160" w:type="dxa"/>
            <w:vAlign w:val="bottom"/>
          </w:tcPr>
          <w:p>
            <w:pPr>
              <w:spacing w:after="0"/>
              <w:rPr>
                <w:sz w:val="20"/>
                <w:szCs w:val="20"/>
                <w:color w:val="auto"/>
              </w:rPr>
            </w:pPr>
            <w:r>
              <w:rPr>
                <w:rFonts w:ascii="Arial" w:cs="Arial" w:eastAsia="Arial" w:hAnsi="Arial"/>
                <w:sz w:val="20"/>
                <w:szCs w:val="20"/>
                <w:color w:val="0000EE"/>
                <w:w w:val="97"/>
              </w:rPr>
              <w:t>Section 6.02.</w:t>
            </w:r>
          </w:p>
        </w:tc>
        <w:tc>
          <w:tcPr>
            <w:tcW w:w="6260" w:type="dxa"/>
            <w:vAlign w:val="bottom"/>
            <w:gridSpan w:val="21"/>
          </w:tcPr>
          <w:p>
            <w:pPr>
              <w:ind w:left="780"/>
              <w:spacing w:after="0"/>
              <w:rPr>
                <w:sz w:val="20"/>
                <w:szCs w:val="20"/>
                <w:color w:val="auto"/>
              </w:rPr>
            </w:pPr>
            <w:r>
              <w:rPr>
                <w:rFonts w:ascii="Arial" w:cs="Arial" w:eastAsia="Arial" w:hAnsi="Arial"/>
                <w:sz w:val="20"/>
                <w:szCs w:val="20"/>
                <w:color w:val="0000EE"/>
              </w:rPr>
              <w:t>Individual Committees.</w:t>
            </w:r>
          </w:p>
        </w:tc>
        <w:tc>
          <w:tcPr>
            <w:tcW w:w="1480" w:type="dxa"/>
            <w:vAlign w:val="bottom"/>
            <w:gridSpan w:val="2"/>
          </w:tcPr>
          <w:p>
            <w:pPr>
              <w:jc w:val="right"/>
              <w:spacing w:after="0"/>
              <w:rPr>
                <w:sz w:val="20"/>
                <w:szCs w:val="20"/>
                <w:color w:val="auto"/>
              </w:rPr>
            </w:pPr>
            <w:r>
              <w:rPr>
                <w:rFonts w:ascii="Arial" w:cs="Arial" w:eastAsia="Arial" w:hAnsi="Arial"/>
                <w:sz w:val="20"/>
                <w:szCs w:val="20"/>
                <w:color w:val="0000EE"/>
              </w:rPr>
              <w:t>8</w:t>
            </w:r>
          </w:p>
        </w:tc>
      </w:tr>
      <w:tr>
        <w:trPr>
          <w:trHeight w:val="20"/>
        </w:trPr>
        <w:tc>
          <w:tcPr>
            <w:tcW w:w="11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0" w:type="dxa"/>
            <w:vAlign w:val="bottom"/>
            <w:gridSpan w:val="1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480" w:type="dxa"/>
            <w:vAlign w:val="bottom"/>
            <w:gridSpan w:val="6"/>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453"/>
        </w:trPr>
        <w:tc>
          <w:tcPr>
            <w:tcW w:w="7420" w:type="dxa"/>
            <w:vAlign w:val="bottom"/>
            <w:gridSpan w:val="22"/>
          </w:tcPr>
          <w:p>
            <w:pPr>
              <w:spacing w:after="0"/>
              <w:rPr>
                <w:sz w:val="20"/>
                <w:szCs w:val="20"/>
                <w:color w:val="auto"/>
              </w:rPr>
            </w:pPr>
            <w:r>
              <w:rPr>
                <w:rFonts w:ascii="Arial" w:cs="Arial" w:eastAsia="Arial" w:hAnsi="Arial"/>
                <w:sz w:val="20"/>
                <w:szCs w:val="20"/>
                <w:color w:val="0000EE"/>
                <w:highlight w:val="white"/>
              </w:rPr>
              <w:t>ARTICLE 7 CHIEF EXECUTIVE OFFICER</w:t>
            </w:r>
          </w:p>
        </w:tc>
        <w:tc>
          <w:tcPr>
            <w:tcW w:w="1480" w:type="dxa"/>
            <w:vAlign w:val="bottom"/>
            <w:gridSpan w:val="2"/>
          </w:tcPr>
          <w:p>
            <w:pPr>
              <w:jc w:val="right"/>
              <w:spacing w:after="0"/>
              <w:rPr>
                <w:sz w:val="20"/>
                <w:szCs w:val="20"/>
                <w:color w:val="auto"/>
              </w:rPr>
            </w:pPr>
            <w:r>
              <w:rPr>
                <w:rFonts w:ascii="Arial" w:cs="Arial" w:eastAsia="Arial" w:hAnsi="Arial"/>
                <w:sz w:val="20"/>
                <w:szCs w:val="20"/>
                <w:color w:val="0000EE"/>
              </w:rPr>
              <w:t>8</w:t>
            </w:r>
          </w:p>
        </w:tc>
      </w:tr>
      <w:tr>
        <w:trPr>
          <w:trHeight w:val="304"/>
        </w:trPr>
        <w:tc>
          <w:tcPr>
            <w:tcW w:w="1160" w:type="dxa"/>
            <w:vAlign w:val="bottom"/>
            <w:tcBorders>
              <w:top w:val="single" w:sz="8" w:color="0000EE"/>
            </w:tcBorders>
          </w:tcPr>
          <w:p>
            <w:pPr>
              <w:spacing w:after="0"/>
              <w:rPr>
                <w:sz w:val="20"/>
                <w:szCs w:val="20"/>
                <w:color w:val="auto"/>
              </w:rPr>
            </w:pPr>
            <w:r>
              <w:rPr>
                <w:rFonts w:ascii="Arial" w:cs="Arial" w:eastAsia="Arial" w:hAnsi="Arial"/>
                <w:sz w:val="20"/>
                <w:szCs w:val="20"/>
                <w:color w:val="0000EE"/>
                <w:w w:val="97"/>
              </w:rPr>
              <w:t>Section 7.01.</w:t>
            </w:r>
          </w:p>
        </w:tc>
        <w:tc>
          <w:tcPr>
            <w:tcW w:w="2580" w:type="dxa"/>
            <w:vAlign w:val="bottom"/>
            <w:tcBorders>
              <w:top w:val="single" w:sz="8" w:color="0000EE"/>
            </w:tcBorders>
            <w:gridSpan w:val="13"/>
          </w:tcPr>
          <w:p>
            <w:pPr>
              <w:ind w:left="780"/>
              <w:spacing w:after="0"/>
              <w:rPr>
                <w:sz w:val="20"/>
                <w:szCs w:val="20"/>
                <w:color w:val="auto"/>
              </w:rPr>
            </w:pPr>
            <w:r>
              <w:rPr>
                <w:rFonts w:ascii="Arial" w:cs="Arial" w:eastAsia="Arial" w:hAnsi="Arial"/>
                <w:sz w:val="20"/>
                <w:szCs w:val="20"/>
                <w:color w:val="0000EE"/>
              </w:rPr>
              <w:t>Powers and Duties.</w:t>
            </w:r>
          </w:p>
        </w:tc>
        <w:tc>
          <w:tcPr>
            <w:tcW w:w="3680" w:type="dxa"/>
            <w:vAlign w:val="bottom"/>
            <w:gridSpan w:val="8"/>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Borders>
              <w:top w:val="single" w:sz="8" w:color="0000EE"/>
            </w:tcBorders>
          </w:tcPr>
          <w:p>
            <w:pPr>
              <w:jc w:val="right"/>
              <w:spacing w:after="0"/>
              <w:rPr>
                <w:sz w:val="20"/>
                <w:szCs w:val="20"/>
                <w:color w:val="auto"/>
              </w:rPr>
            </w:pPr>
            <w:r>
              <w:rPr>
                <w:rFonts w:ascii="Arial" w:cs="Arial" w:eastAsia="Arial" w:hAnsi="Arial"/>
                <w:sz w:val="20"/>
                <w:szCs w:val="20"/>
                <w:color w:val="0000EE"/>
                <w:w w:val="89"/>
              </w:rPr>
              <w:t>8</w:t>
            </w:r>
          </w:p>
        </w:tc>
      </w:tr>
      <w:tr>
        <w:trPr>
          <w:trHeight w:val="797"/>
        </w:trPr>
        <w:tc>
          <w:tcPr>
            <w:tcW w:w="1160" w:type="dxa"/>
            <w:vAlign w:val="bottom"/>
            <w:tcBorders>
              <w:top w:val="single" w:sz="8" w:color="0000EE"/>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-7345680</wp:posOffset>
            </wp:positionV>
            <wp:extent cx="889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-7345680</wp:posOffset>
            </wp:positionV>
            <wp:extent cx="825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65405</wp:posOffset>
            </wp:positionH>
            <wp:positionV relativeFrom="paragraph">
              <wp:posOffset>-7345680</wp:posOffset>
            </wp:positionV>
            <wp:extent cx="825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-7345680</wp:posOffset>
            </wp:positionV>
            <wp:extent cx="825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99695</wp:posOffset>
            </wp:positionH>
            <wp:positionV relativeFrom="paragraph">
              <wp:posOffset>-7345680</wp:posOffset>
            </wp:positionV>
            <wp:extent cx="889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-7345680</wp:posOffset>
            </wp:positionV>
            <wp:extent cx="889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-7345680</wp:posOffset>
            </wp:positionV>
            <wp:extent cx="889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151130</wp:posOffset>
            </wp:positionH>
            <wp:positionV relativeFrom="paragraph">
              <wp:posOffset>-7345680</wp:posOffset>
            </wp:positionV>
            <wp:extent cx="825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168275</wp:posOffset>
            </wp:positionH>
            <wp:positionV relativeFrom="paragraph">
              <wp:posOffset>-7345680</wp:posOffset>
            </wp:positionV>
            <wp:extent cx="825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-7345680</wp:posOffset>
            </wp:positionV>
            <wp:extent cx="889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202565</wp:posOffset>
            </wp:positionH>
            <wp:positionV relativeFrom="paragraph">
              <wp:posOffset>-7345680</wp:posOffset>
            </wp:positionV>
            <wp:extent cx="889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-7345680</wp:posOffset>
            </wp:positionV>
            <wp:extent cx="889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236855</wp:posOffset>
            </wp:positionH>
            <wp:positionV relativeFrom="paragraph">
              <wp:posOffset>-7345680</wp:posOffset>
            </wp:positionV>
            <wp:extent cx="825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-7345680</wp:posOffset>
            </wp:positionV>
            <wp:extent cx="825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271145</wp:posOffset>
            </wp:positionH>
            <wp:positionV relativeFrom="paragraph">
              <wp:posOffset>-7345680</wp:posOffset>
            </wp:positionV>
            <wp:extent cx="825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-7345680</wp:posOffset>
            </wp:positionV>
            <wp:extent cx="889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305435</wp:posOffset>
            </wp:positionH>
            <wp:positionV relativeFrom="paragraph">
              <wp:posOffset>-7345680</wp:posOffset>
            </wp:positionV>
            <wp:extent cx="889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322580</wp:posOffset>
            </wp:positionH>
            <wp:positionV relativeFrom="paragraph">
              <wp:posOffset>-7345680</wp:posOffset>
            </wp:positionV>
            <wp:extent cx="889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339725</wp:posOffset>
            </wp:positionH>
            <wp:positionV relativeFrom="paragraph">
              <wp:posOffset>-7345680</wp:posOffset>
            </wp:positionV>
            <wp:extent cx="825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356870</wp:posOffset>
            </wp:positionH>
            <wp:positionV relativeFrom="paragraph">
              <wp:posOffset>-7345680</wp:posOffset>
            </wp:positionV>
            <wp:extent cx="825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374015</wp:posOffset>
            </wp:positionH>
            <wp:positionV relativeFrom="paragraph">
              <wp:posOffset>-7345680</wp:posOffset>
            </wp:positionV>
            <wp:extent cx="889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391160</wp:posOffset>
            </wp:positionH>
            <wp:positionV relativeFrom="paragraph">
              <wp:posOffset>-7345680</wp:posOffset>
            </wp:positionV>
            <wp:extent cx="889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408305</wp:posOffset>
            </wp:positionH>
            <wp:positionV relativeFrom="paragraph">
              <wp:posOffset>-7345680</wp:posOffset>
            </wp:positionV>
            <wp:extent cx="889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425450</wp:posOffset>
            </wp:positionH>
            <wp:positionV relativeFrom="paragraph">
              <wp:posOffset>-7345680</wp:posOffset>
            </wp:positionV>
            <wp:extent cx="825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-7345680</wp:posOffset>
            </wp:positionV>
            <wp:extent cx="825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459740</wp:posOffset>
            </wp:positionH>
            <wp:positionV relativeFrom="paragraph">
              <wp:posOffset>-7345680</wp:posOffset>
            </wp:positionV>
            <wp:extent cx="825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476885</wp:posOffset>
            </wp:positionH>
            <wp:positionV relativeFrom="paragraph">
              <wp:posOffset>-7345680</wp:posOffset>
            </wp:positionV>
            <wp:extent cx="889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494030</wp:posOffset>
            </wp:positionH>
            <wp:positionV relativeFrom="paragraph">
              <wp:posOffset>-7345680</wp:posOffset>
            </wp:positionV>
            <wp:extent cx="889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511175</wp:posOffset>
            </wp:positionH>
            <wp:positionV relativeFrom="paragraph">
              <wp:posOffset>-7345680</wp:posOffset>
            </wp:positionV>
            <wp:extent cx="889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-7345680</wp:posOffset>
            </wp:positionV>
            <wp:extent cx="825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-7345680</wp:posOffset>
            </wp:positionV>
            <wp:extent cx="825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562610</wp:posOffset>
            </wp:positionH>
            <wp:positionV relativeFrom="paragraph">
              <wp:posOffset>-7345680</wp:posOffset>
            </wp:positionV>
            <wp:extent cx="889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579755</wp:posOffset>
            </wp:positionH>
            <wp:positionV relativeFrom="paragraph">
              <wp:posOffset>-7345680</wp:posOffset>
            </wp:positionV>
            <wp:extent cx="889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596900</wp:posOffset>
            </wp:positionH>
            <wp:positionV relativeFrom="paragraph">
              <wp:posOffset>-7345680</wp:posOffset>
            </wp:positionV>
            <wp:extent cx="889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614045</wp:posOffset>
            </wp:positionH>
            <wp:positionV relativeFrom="paragraph">
              <wp:posOffset>-7345680</wp:posOffset>
            </wp:positionV>
            <wp:extent cx="889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631190</wp:posOffset>
            </wp:positionH>
            <wp:positionV relativeFrom="paragraph">
              <wp:posOffset>-7345680</wp:posOffset>
            </wp:positionV>
            <wp:extent cx="825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648335</wp:posOffset>
            </wp:positionH>
            <wp:positionV relativeFrom="paragraph">
              <wp:posOffset>-7345680</wp:posOffset>
            </wp:positionV>
            <wp:extent cx="825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-7345680</wp:posOffset>
            </wp:positionV>
            <wp:extent cx="889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682625</wp:posOffset>
            </wp:positionH>
            <wp:positionV relativeFrom="paragraph">
              <wp:posOffset>-7345680</wp:posOffset>
            </wp:positionV>
            <wp:extent cx="889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-7345680</wp:posOffset>
            </wp:positionV>
            <wp:extent cx="889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716915</wp:posOffset>
            </wp:positionH>
            <wp:positionV relativeFrom="paragraph">
              <wp:posOffset>-7345680</wp:posOffset>
            </wp:positionV>
            <wp:extent cx="889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-7345680</wp:posOffset>
            </wp:positionV>
            <wp:extent cx="889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751205</wp:posOffset>
            </wp:positionH>
            <wp:positionV relativeFrom="paragraph">
              <wp:posOffset>-7345680</wp:posOffset>
            </wp:positionV>
            <wp:extent cx="889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-7345680</wp:posOffset>
            </wp:positionV>
            <wp:extent cx="889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785495</wp:posOffset>
            </wp:positionH>
            <wp:positionV relativeFrom="paragraph">
              <wp:posOffset>-7345680</wp:posOffset>
            </wp:positionV>
            <wp:extent cx="825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-7345680</wp:posOffset>
            </wp:positionV>
            <wp:extent cx="889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-7345680</wp:posOffset>
            </wp:positionV>
            <wp:extent cx="889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-7345680</wp:posOffset>
            </wp:positionV>
            <wp:extent cx="889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-7345680</wp:posOffset>
            </wp:positionV>
            <wp:extent cx="889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871220</wp:posOffset>
            </wp:positionH>
            <wp:positionV relativeFrom="paragraph">
              <wp:posOffset>-7345680</wp:posOffset>
            </wp:positionV>
            <wp:extent cx="825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888365</wp:posOffset>
            </wp:positionH>
            <wp:positionV relativeFrom="paragraph">
              <wp:posOffset>-7345680</wp:posOffset>
            </wp:positionV>
            <wp:extent cx="889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905510</wp:posOffset>
            </wp:positionH>
            <wp:positionV relativeFrom="paragraph">
              <wp:posOffset>-7345680</wp:posOffset>
            </wp:positionV>
            <wp:extent cx="889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922655</wp:posOffset>
            </wp:positionH>
            <wp:positionV relativeFrom="paragraph">
              <wp:posOffset>-7345680</wp:posOffset>
            </wp:positionV>
            <wp:extent cx="889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939800</wp:posOffset>
            </wp:positionH>
            <wp:positionV relativeFrom="paragraph">
              <wp:posOffset>-7345680</wp:posOffset>
            </wp:positionV>
            <wp:extent cx="889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-7345680</wp:posOffset>
            </wp:positionV>
            <wp:extent cx="825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974090</wp:posOffset>
            </wp:positionH>
            <wp:positionV relativeFrom="paragraph">
              <wp:posOffset>-7345680</wp:posOffset>
            </wp:positionV>
            <wp:extent cx="889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991235</wp:posOffset>
            </wp:positionH>
            <wp:positionV relativeFrom="paragraph">
              <wp:posOffset>-7345680</wp:posOffset>
            </wp:positionV>
            <wp:extent cx="889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1008380</wp:posOffset>
            </wp:positionH>
            <wp:positionV relativeFrom="paragraph">
              <wp:posOffset>-7345680</wp:posOffset>
            </wp:positionV>
            <wp:extent cx="889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1025525</wp:posOffset>
            </wp:positionH>
            <wp:positionV relativeFrom="paragraph">
              <wp:posOffset>-7345680</wp:posOffset>
            </wp:positionV>
            <wp:extent cx="889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-7345680</wp:posOffset>
            </wp:positionV>
            <wp:extent cx="889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1059815</wp:posOffset>
            </wp:positionH>
            <wp:positionV relativeFrom="paragraph">
              <wp:posOffset>-7345680</wp:posOffset>
            </wp:positionV>
            <wp:extent cx="889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1076960</wp:posOffset>
            </wp:positionH>
            <wp:positionV relativeFrom="paragraph">
              <wp:posOffset>-7345680</wp:posOffset>
            </wp:positionV>
            <wp:extent cx="825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-7345680</wp:posOffset>
            </wp:positionV>
            <wp:extent cx="889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-7345680</wp:posOffset>
            </wp:positionV>
            <wp:extent cx="889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1128395</wp:posOffset>
            </wp:positionH>
            <wp:positionV relativeFrom="paragraph">
              <wp:posOffset>-7345680</wp:posOffset>
            </wp:positionV>
            <wp:extent cx="889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-7345680</wp:posOffset>
            </wp:positionV>
            <wp:extent cx="889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-7345680</wp:posOffset>
            </wp:positionV>
            <wp:extent cx="825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1179830</wp:posOffset>
            </wp:positionH>
            <wp:positionV relativeFrom="paragraph">
              <wp:posOffset>-7345680</wp:posOffset>
            </wp:positionV>
            <wp:extent cx="889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1196975</wp:posOffset>
            </wp:positionH>
            <wp:positionV relativeFrom="paragraph">
              <wp:posOffset>-7345680</wp:posOffset>
            </wp:positionV>
            <wp:extent cx="889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1214120</wp:posOffset>
            </wp:positionH>
            <wp:positionV relativeFrom="paragraph">
              <wp:posOffset>-7345680</wp:posOffset>
            </wp:positionV>
            <wp:extent cx="889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1231265</wp:posOffset>
            </wp:positionH>
            <wp:positionV relativeFrom="paragraph">
              <wp:posOffset>-7345680</wp:posOffset>
            </wp:positionV>
            <wp:extent cx="889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1248410</wp:posOffset>
            </wp:positionH>
            <wp:positionV relativeFrom="paragraph">
              <wp:posOffset>-7345680</wp:posOffset>
            </wp:positionV>
            <wp:extent cx="825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-7345680</wp:posOffset>
            </wp:positionV>
            <wp:extent cx="889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1282700</wp:posOffset>
            </wp:positionH>
            <wp:positionV relativeFrom="paragraph">
              <wp:posOffset>-7345680</wp:posOffset>
            </wp:positionV>
            <wp:extent cx="889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-7345680</wp:posOffset>
            </wp:positionV>
            <wp:extent cx="889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1316990</wp:posOffset>
            </wp:positionH>
            <wp:positionV relativeFrom="paragraph">
              <wp:posOffset>-7345680</wp:posOffset>
            </wp:positionV>
            <wp:extent cx="889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1334135</wp:posOffset>
            </wp:positionH>
            <wp:positionV relativeFrom="paragraph">
              <wp:posOffset>-7345680</wp:posOffset>
            </wp:positionV>
            <wp:extent cx="825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1351280</wp:posOffset>
            </wp:positionH>
            <wp:positionV relativeFrom="paragraph">
              <wp:posOffset>-7345680</wp:posOffset>
            </wp:positionV>
            <wp:extent cx="889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-7345680</wp:posOffset>
            </wp:positionV>
            <wp:extent cx="825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1385570</wp:posOffset>
            </wp:positionH>
            <wp:positionV relativeFrom="paragraph">
              <wp:posOffset>-7345680</wp:posOffset>
            </wp:positionV>
            <wp:extent cx="889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1402715</wp:posOffset>
            </wp:positionH>
            <wp:positionV relativeFrom="paragraph">
              <wp:posOffset>-7345680</wp:posOffset>
            </wp:positionV>
            <wp:extent cx="889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1419860</wp:posOffset>
            </wp:positionH>
            <wp:positionV relativeFrom="paragraph">
              <wp:posOffset>-7345680</wp:posOffset>
            </wp:positionV>
            <wp:extent cx="889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1437005</wp:posOffset>
            </wp:positionH>
            <wp:positionV relativeFrom="paragraph">
              <wp:posOffset>-7345680</wp:posOffset>
            </wp:positionV>
            <wp:extent cx="889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1454150</wp:posOffset>
            </wp:positionH>
            <wp:positionV relativeFrom="paragraph">
              <wp:posOffset>-7345680</wp:posOffset>
            </wp:positionV>
            <wp:extent cx="825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1471295</wp:posOffset>
            </wp:positionH>
            <wp:positionV relativeFrom="paragraph">
              <wp:posOffset>-7345680</wp:posOffset>
            </wp:positionV>
            <wp:extent cx="889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1488440</wp:posOffset>
            </wp:positionH>
            <wp:positionV relativeFrom="paragraph">
              <wp:posOffset>-7345680</wp:posOffset>
            </wp:positionV>
            <wp:extent cx="889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-7345680</wp:posOffset>
            </wp:positionV>
            <wp:extent cx="889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1522730</wp:posOffset>
            </wp:positionH>
            <wp:positionV relativeFrom="paragraph">
              <wp:posOffset>-7345680</wp:posOffset>
            </wp:positionV>
            <wp:extent cx="889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1539875</wp:posOffset>
            </wp:positionH>
            <wp:positionV relativeFrom="paragraph">
              <wp:posOffset>-7345680</wp:posOffset>
            </wp:positionV>
            <wp:extent cx="825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1557020</wp:posOffset>
            </wp:positionH>
            <wp:positionV relativeFrom="paragraph">
              <wp:posOffset>-7345680</wp:posOffset>
            </wp:positionV>
            <wp:extent cx="889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1574165</wp:posOffset>
            </wp:positionH>
            <wp:positionV relativeFrom="paragraph">
              <wp:posOffset>-7345680</wp:posOffset>
            </wp:positionV>
            <wp:extent cx="889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1591310</wp:posOffset>
            </wp:positionH>
            <wp:positionV relativeFrom="paragraph">
              <wp:posOffset>-7345680</wp:posOffset>
            </wp:positionV>
            <wp:extent cx="889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1608455</wp:posOffset>
            </wp:positionH>
            <wp:positionV relativeFrom="paragraph">
              <wp:posOffset>-7345680</wp:posOffset>
            </wp:positionV>
            <wp:extent cx="889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1625600</wp:posOffset>
            </wp:positionH>
            <wp:positionV relativeFrom="paragraph">
              <wp:posOffset>-7345680</wp:posOffset>
            </wp:positionV>
            <wp:extent cx="825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1642745</wp:posOffset>
            </wp:positionH>
            <wp:positionV relativeFrom="paragraph">
              <wp:posOffset>-7345680</wp:posOffset>
            </wp:positionV>
            <wp:extent cx="889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1659890</wp:posOffset>
            </wp:positionH>
            <wp:positionV relativeFrom="paragraph">
              <wp:posOffset>-7345680</wp:posOffset>
            </wp:positionV>
            <wp:extent cx="889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1677035</wp:posOffset>
            </wp:positionH>
            <wp:positionV relativeFrom="paragraph">
              <wp:posOffset>-7345680</wp:posOffset>
            </wp:positionV>
            <wp:extent cx="889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1694180</wp:posOffset>
            </wp:positionH>
            <wp:positionV relativeFrom="paragraph">
              <wp:posOffset>-7345680</wp:posOffset>
            </wp:positionV>
            <wp:extent cx="889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1711325</wp:posOffset>
            </wp:positionH>
            <wp:positionV relativeFrom="paragraph">
              <wp:posOffset>-7345680</wp:posOffset>
            </wp:positionV>
            <wp:extent cx="825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1728470</wp:posOffset>
            </wp:positionH>
            <wp:positionV relativeFrom="paragraph">
              <wp:posOffset>-7345680</wp:posOffset>
            </wp:positionV>
            <wp:extent cx="889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1745615</wp:posOffset>
            </wp:positionH>
            <wp:positionV relativeFrom="paragraph">
              <wp:posOffset>-7345680</wp:posOffset>
            </wp:positionV>
            <wp:extent cx="825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1762760</wp:posOffset>
            </wp:positionH>
            <wp:positionV relativeFrom="paragraph">
              <wp:posOffset>-7345680</wp:posOffset>
            </wp:positionV>
            <wp:extent cx="889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1779905</wp:posOffset>
            </wp:positionH>
            <wp:positionV relativeFrom="paragraph">
              <wp:posOffset>-7345680</wp:posOffset>
            </wp:positionV>
            <wp:extent cx="889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1797050</wp:posOffset>
            </wp:positionH>
            <wp:positionV relativeFrom="paragraph">
              <wp:posOffset>-7345680</wp:posOffset>
            </wp:positionV>
            <wp:extent cx="889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-7345680</wp:posOffset>
            </wp:positionV>
            <wp:extent cx="889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1831340</wp:posOffset>
            </wp:positionH>
            <wp:positionV relativeFrom="paragraph">
              <wp:posOffset>-7345680</wp:posOffset>
            </wp:positionV>
            <wp:extent cx="825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-7345680</wp:posOffset>
            </wp:positionV>
            <wp:extent cx="889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1865630</wp:posOffset>
            </wp:positionH>
            <wp:positionV relativeFrom="paragraph">
              <wp:posOffset>-7345680</wp:posOffset>
            </wp:positionV>
            <wp:extent cx="889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1882775</wp:posOffset>
            </wp:positionH>
            <wp:positionV relativeFrom="paragraph">
              <wp:posOffset>-7345680</wp:posOffset>
            </wp:positionV>
            <wp:extent cx="889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1899920</wp:posOffset>
            </wp:positionH>
            <wp:positionV relativeFrom="paragraph">
              <wp:posOffset>-7345680</wp:posOffset>
            </wp:positionV>
            <wp:extent cx="889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1917065</wp:posOffset>
            </wp:positionH>
            <wp:positionV relativeFrom="paragraph">
              <wp:posOffset>-7345680</wp:posOffset>
            </wp:positionV>
            <wp:extent cx="825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1934210</wp:posOffset>
            </wp:positionH>
            <wp:positionV relativeFrom="paragraph">
              <wp:posOffset>-7345680</wp:posOffset>
            </wp:positionV>
            <wp:extent cx="889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1951355</wp:posOffset>
            </wp:positionH>
            <wp:positionV relativeFrom="paragraph">
              <wp:posOffset>-7345680</wp:posOffset>
            </wp:positionV>
            <wp:extent cx="889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1968500</wp:posOffset>
            </wp:positionH>
            <wp:positionV relativeFrom="paragraph">
              <wp:posOffset>-7345680</wp:posOffset>
            </wp:positionV>
            <wp:extent cx="889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1985645</wp:posOffset>
            </wp:positionH>
            <wp:positionV relativeFrom="paragraph">
              <wp:posOffset>-7345680</wp:posOffset>
            </wp:positionV>
            <wp:extent cx="889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2002790</wp:posOffset>
            </wp:positionH>
            <wp:positionV relativeFrom="paragraph">
              <wp:posOffset>-7345680</wp:posOffset>
            </wp:positionV>
            <wp:extent cx="825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2019935</wp:posOffset>
            </wp:positionH>
            <wp:positionV relativeFrom="paragraph">
              <wp:posOffset>-7345680</wp:posOffset>
            </wp:positionV>
            <wp:extent cx="889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2037080</wp:posOffset>
            </wp:positionH>
            <wp:positionV relativeFrom="paragraph">
              <wp:posOffset>-7345680</wp:posOffset>
            </wp:positionV>
            <wp:extent cx="889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2054225</wp:posOffset>
            </wp:positionH>
            <wp:positionV relativeFrom="paragraph">
              <wp:posOffset>-7345680</wp:posOffset>
            </wp:positionV>
            <wp:extent cx="889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2071370</wp:posOffset>
            </wp:positionH>
            <wp:positionV relativeFrom="paragraph">
              <wp:posOffset>-7345680</wp:posOffset>
            </wp:positionV>
            <wp:extent cx="889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2088515</wp:posOffset>
            </wp:positionH>
            <wp:positionV relativeFrom="paragraph">
              <wp:posOffset>-7345680</wp:posOffset>
            </wp:positionV>
            <wp:extent cx="889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2105660</wp:posOffset>
            </wp:positionH>
            <wp:positionV relativeFrom="paragraph">
              <wp:posOffset>-7345680</wp:posOffset>
            </wp:positionV>
            <wp:extent cx="889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2122805</wp:posOffset>
            </wp:positionH>
            <wp:positionV relativeFrom="paragraph">
              <wp:posOffset>-7345680</wp:posOffset>
            </wp:positionV>
            <wp:extent cx="825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2139950</wp:posOffset>
            </wp:positionH>
            <wp:positionV relativeFrom="paragraph">
              <wp:posOffset>-7345680</wp:posOffset>
            </wp:positionV>
            <wp:extent cx="889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2157095</wp:posOffset>
            </wp:positionH>
            <wp:positionV relativeFrom="paragraph">
              <wp:posOffset>-7345680</wp:posOffset>
            </wp:positionV>
            <wp:extent cx="889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2174240</wp:posOffset>
            </wp:positionH>
            <wp:positionV relativeFrom="paragraph">
              <wp:posOffset>-7345680</wp:posOffset>
            </wp:positionV>
            <wp:extent cx="889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-7345680</wp:posOffset>
            </wp:positionV>
            <wp:extent cx="889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2208530</wp:posOffset>
            </wp:positionH>
            <wp:positionV relativeFrom="paragraph">
              <wp:posOffset>-7345680</wp:posOffset>
            </wp:positionV>
            <wp:extent cx="825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2225675</wp:posOffset>
            </wp:positionH>
            <wp:positionV relativeFrom="paragraph">
              <wp:posOffset>-7345680</wp:posOffset>
            </wp:positionV>
            <wp:extent cx="889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2242820</wp:posOffset>
            </wp:positionH>
            <wp:positionV relativeFrom="paragraph">
              <wp:posOffset>-7345680</wp:posOffset>
            </wp:positionV>
            <wp:extent cx="889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2259965</wp:posOffset>
            </wp:positionH>
            <wp:positionV relativeFrom="paragraph">
              <wp:posOffset>-7345680</wp:posOffset>
            </wp:positionV>
            <wp:extent cx="889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2277110</wp:posOffset>
            </wp:positionH>
            <wp:positionV relativeFrom="paragraph">
              <wp:posOffset>-7345680</wp:posOffset>
            </wp:positionV>
            <wp:extent cx="889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2294255</wp:posOffset>
            </wp:positionH>
            <wp:positionV relativeFrom="paragraph">
              <wp:posOffset>-7345680</wp:posOffset>
            </wp:positionV>
            <wp:extent cx="825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2311400</wp:posOffset>
            </wp:positionH>
            <wp:positionV relativeFrom="paragraph">
              <wp:posOffset>-7345680</wp:posOffset>
            </wp:positionV>
            <wp:extent cx="889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2328545</wp:posOffset>
            </wp:positionH>
            <wp:positionV relativeFrom="paragraph">
              <wp:posOffset>-7345680</wp:posOffset>
            </wp:positionV>
            <wp:extent cx="825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2345690</wp:posOffset>
            </wp:positionH>
            <wp:positionV relativeFrom="paragraph">
              <wp:posOffset>-7345680</wp:posOffset>
            </wp:positionV>
            <wp:extent cx="825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2362835</wp:posOffset>
            </wp:positionH>
            <wp:positionV relativeFrom="paragraph">
              <wp:posOffset>-7345680</wp:posOffset>
            </wp:positionV>
            <wp:extent cx="889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2379980</wp:posOffset>
            </wp:positionH>
            <wp:positionV relativeFrom="paragraph">
              <wp:posOffset>-7345680</wp:posOffset>
            </wp:positionV>
            <wp:extent cx="889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2397125</wp:posOffset>
            </wp:positionH>
            <wp:positionV relativeFrom="paragraph">
              <wp:posOffset>-7345680</wp:posOffset>
            </wp:positionV>
            <wp:extent cx="825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2414270</wp:posOffset>
            </wp:positionH>
            <wp:positionV relativeFrom="paragraph">
              <wp:posOffset>-7345680</wp:posOffset>
            </wp:positionV>
            <wp:extent cx="825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2431415</wp:posOffset>
            </wp:positionH>
            <wp:positionV relativeFrom="paragraph">
              <wp:posOffset>-7345680</wp:posOffset>
            </wp:positionV>
            <wp:extent cx="825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2448560</wp:posOffset>
            </wp:positionH>
            <wp:positionV relativeFrom="paragraph">
              <wp:posOffset>-7345680</wp:posOffset>
            </wp:positionV>
            <wp:extent cx="889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2465705</wp:posOffset>
            </wp:positionH>
            <wp:positionV relativeFrom="paragraph">
              <wp:posOffset>-7345680</wp:posOffset>
            </wp:positionV>
            <wp:extent cx="889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2482850</wp:posOffset>
            </wp:positionH>
            <wp:positionV relativeFrom="paragraph">
              <wp:posOffset>-7345680</wp:posOffset>
            </wp:positionV>
            <wp:extent cx="825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2499995</wp:posOffset>
            </wp:positionH>
            <wp:positionV relativeFrom="paragraph">
              <wp:posOffset>-7345680</wp:posOffset>
            </wp:positionV>
            <wp:extent cx="825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2517140</wp:posOffset>
            </wp:positionH>
            <wp:positionV relativeFrom="paragraph">
              <wp:posOffset>-7345680</wp:posOffset>
            </wp:positionV>
            <wp:extent cx="825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-7345680</wp:posOffset>
            </wp:positionV>
            <wp:extent cx="889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2551430</wp:posOffset>
            </wp:positionH>
            <wp:positionV relativeFrom="paragraph">
              <wp:posOffset>-7345680</wp:posOffset>
            </wp:positionV>
            <wp:extent cx="889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2568575</wp:posOffset>
            </wp:positionH>
            <wp:positionV relativeFrom="paragraph">
              <wp:posOffset>-7345680</wp:posOffset>
            </wp:positionV>
            <wp:extent cx="825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2585720</wp:posOffset>
            </wp:positionH>
            <wp:positionV relativeFrom="paragraph">
              <wp:posOffset>-7345680</wp:posOffset>
            </wp:positionV>
            <wp:extent cx="825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2602865</wp:posOffset>
            </wp:positionH>
            <wp:positionV relativeFrom="paragraph">
              <wp:posOffset>-7345680</wp:posOffset>
            </wp:positionV>
            <wp:extent cx="825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2620010</wp:posOffset>
            </wp:positionH>
            <wp:positionV relativeFrom="paragraph">
              <wp:posOffset>-7345680</wp:posOffset>
            </wp:positionV>
            <wp:extent cx="889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2637155</wp:posOffset>
            </wp:positionH>
            <wp:positionV relativeFrom="paragraph">
              <wp:posOffset>-7345680</wp:posOffset>
            </wp:positionV>
            <wp:extent cx="889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2654300</wp:posOffset>
            </wp:positionH>
            <wp:positionV relativeFrom="paragraph">
              <wp:posOffset>-7345680</wp:posOffset>
            </wp:positionV>
            <wp:extent cx="825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2671445</wp:posOffset>
            </wp:positionH>
            <wp:positionV relativeFrom="paragraph">
              <wp:posOffset>-7345680</wp:posOffset>
            </wp:positionV>
            <wp:extent cx="825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2688590</wp:posOffset>
            </wp:positionH>
            <wp:positionV relativeFrom="paragraph">
              <wp:posOffset>-7345680</wp:posOffset>
            </wp:positionV>
            <wp:extent cx="825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2705735</wp:posOffset>
            </wp:positionH>
            <wp:positionV relativeFrom="paragraph">
              <wp:posOffset>-7345680</wp:posOffset>
            </wp:positionV>
            <wp:extent cx="889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-7345680</wp:posOffset>
            </wp:positionV>
            <wp:extent cx="889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-7345680</wp:posOffset>
            </wp:positionV>
            <wp:extent cx="825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2757170</wp:posOffset>
            </wp:positionH>
            <wp:positionV relativeFrom="paragraph">
              <wp:posOffset>-7345680</wp:posOffset>
            </wp:positionV>
            <wp:extent cx="825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2774315</wp:posOffset>
            </wp:positionH>
            <wp:positionV relativeFrom="paragraph">
              <wp:posOffset>-7345680</wp:posOffset>
            </wp:positionV>
            <wp:extent cx="825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2791460</wp:posOffset>
            </wp:positionH>
            <wp:positionV relativeFrom="paragraph">
              <wp:posOffset>-7345680</wp:posOffset>
            </wp:positionV>
            <wp:extent cx="889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2808605</wp:posOffset>
            </wp:positionH>
            <wp:positionV relativeFrom="paragraph">
              <wp:posOffset>-7345680</wp:posOffset>
            </wp:positionV>
            <wp:extent cx="889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2825750</wp:posOffset>
            </wp:positionH>
            <wp:positionV relativeFrom="paragraph">
              <wp:posOffset>-7345680</wp:posOffset>
            </wp:positionV>
            <wp:extent cx="825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2842895</wp:posOffset>
            </wp:positionH>
            <wp:positionV relativeFrom="paragraph">
              <wp:posOffset>-7345680</wp:posOffset>
            </wp:positionV>
            <wp:extent cx="825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-7345680</wp:posOffset>
            </wp:positionV>
            <wp:extent cx="825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-7345680</wp:posOffset>
            </wp:positionV>
            <wp:extent cx="889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2894330</wp:posOffset>
            </wp:positionH>
            <wp:positionV relativeFrom="paragraph">
              <wp:posOffset>-7345680</wp:posOffset>
            </wp:positionV>
            <wp:extent cx="889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2911475</wp:posOffset>
            </wp:positionH>
            <wp:positionV relativeFrom="paragraph">
              <wp:posOffset>-7345680</wp:posOffset>
            </wp:positionV>
            <wp:extent cx="825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2928620</wp:posOffset>
            </wp:positionH>
            <wp:positionV relativeFrom="paragraph">
              <wp:posOffset>-7345680</wp:posOffset>
            </wp:positionV>
            <wp:extent cx="825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2945765</wp:posOffset>
            </wp:positionH>
            <wp:positionV relativeFrom="paragraph">
              <wp:posOffset>-7345680</wp:posOffset>
            </wp:positionV>
            <wp:extent cx="889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2962910</wp:posOffset>
            </wp:positionH>
            <wp:positionV relativeFrom="paragraph">
              <wp:posOffset>-7345680</wp:posOffset>
            </wp:positionV>
            <wp:extent cx="889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2980055</wp:posOffset>
            </wp:positionH>
            <wp:positionV relativeFrom="paragraph">
              <wp:posOffset>-7345680</wp:posOffset>
            </wp:positionV>
            <wp:extent cx="825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2997200</wp:posOffset>
            </wp:positionH>
            <wp:positionV relativeFrom="paragraph">
              <wp:posOffset>-7345680</wp:posOffset>
            </wp:positionV>
            <wp:extent cx="825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3014345</wp:posOffset>
            </wp:positionH>
            <wp:positionV relativeFrom="paragraph">
              <wp:posOffset>-7345680</wp:posOffset>
            </wp:positionV>
            <wp:extent cx="825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3031490</wp:posOffset>
            </wp:positionH>
            <wp:positionV relativeFrom="paragraph">
              <wp:posOffset>-7345680</wp:posOffset>
            </wp:positionV>
            <wp:extent cx="889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3048635</wp:posOffset>
            </wp:positionH>
            <wp:positionV relativeFrom="paragraph">
              <wp:posOffset>-7345680</wp:posOffset>
            </wp:positionV>
            <wp:extent cx="889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3065780</wp:posOffset>
            </wp:positionH>
            <wp:positionV relativeFrom="paragraph">
              <wp:posOffset>-7345680</wp:posOffset>
            </wp:positionV>
            <wp:extent cx="825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3082925</wp:posOffset>
            </wp:positionH>
            <wp:positionV relativeFrom="paragraph">
              <wp:posOffset>-7345680</wp:posOffset>
            </wp:positionV>
            <wp:extent cx="825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3100070</wp:posOffset>
            </wp:positionH>
            <wp:positionV relativeFrom="paragraph">
              <wp:posOffset>-7345680</wp:posOffset>
            </wp:positionV>
            <wp:extent cx="825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3117215</wp:posOffset>
            </wp:positionH>
            <wp:positionV relativeFrom="paragraph">
              <wp:posOffset>-7345680</wp:posOffset>
            </wp:positionV>
            <wp:extent cx="889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3134360</wp:posOffset>
            </wp:positionH>
            <wp:positionV relativeFrom="paragraph">
              <wp:posOffset>-7345680</wp:posOffset>
            </wp:positionV>
            <wp:extent cx="889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3151505</wp:posOffset>
            </wp:positionH>
            <wp:positionV relativeFrom="paragraph">
              <wp:posOffset>-7345680</wp:posOffset>
            </wp:positionV>
            <wp:extent cx="825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3168650</wp:posOffset>
            </wp:positionH>
            <wp:positionV relativeFrom="paragraph">
              <wp:posOffset>-7345680</wp:posOffset>
            </wp:positionV>
            <wp:extent cx="825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3185795</wp:posOffset>
            </wp:positionH>
            <wp:positionV relativeFrom="paragraph">
              <wp:posOffset>-7345680</wp:posOffset>
            </wp:positionV>
            <wp:extent cx="825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3202940</wp:posOffset>
            </wp:positionH>
            <wp:positionV relativeFrom="paragraph">
              <wp:posOffset>-7345680</wp:posOffset>
            </wp:positionV>
            <wp:extent cx="889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-7345680</wp:posOffset>
            </wp:positionV>
            <wp:extent cx="889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3237230</wp:posOffset>
            </wp:positionH>
            <wp:positionV relativeFrom="paragraph">
              <wp:posOffset>-7345680</wp:posOffset>
            </wp:positionV>
            <wp:extent cx="825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3254375</wp:posOffset>
            </wp:positionH>
            <wp:positionV relativeFrom="paragraph">
              <wp:posOffset>-7345680</wp:posOffset>
            </wp:positionV>
            <wp:extent cx="825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3271520</wp:posOffset>
            </wp:positionH>
            <wp:positionV relativeFrom="paragraph">
              <wp:posOffset>-7345680</wp:posOffset>
            </wp:positionV>
            <wp:extent cx="825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3288665</wp:posOffset>
            </wp:positionH>
            <wp:positionV relativeFrom="paragraph">
              <wp:posOffset>-7345680</wp:posOffset>
            </wp:positionV>
            <wp:extent cx="889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3305810</wp:posOffset>
            </wp:positionH>
            <wp:positionV relativeFrom="paragraph">
              <wp:posOffset>-7345680</wp:posOffset>
            </wp:positionV>
            <wp:extent cx="889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3322955</wp:posOffset>
            </wp:positionH>
            <wp:positionV relativeFrom="paragraph">
              <wp:posOffset>-7345680</wp:posOffset>
            </wp:positionV>
            <wp:extent cx="825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3340100</wp:posOffset>
            </wp:positionH>
            <wp:positionV relativeFrom="paragraph">
              <wp:posOffset>-7345680</wp:posOffset>
            </wp:positionV>
            <wp:extent cx="825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3357245</wp:posOffset>
            </wp:positionH>
            <wp:positionV relativeFrom="paragraph">
              <wp:posOffset>-7345680</wp:posOffset>
            </wp:positionV>
            <wp:extent cx="825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3374390</wp:posOffset>
            </wp:positionH>
            <wp:positionV relativeFrom="paragraph">
              <wp:posOffset>-7345680</wp:posOffset>
            </wp:positionV>
            <wp:extent cx="889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3391535</wp:posOffset>
            </wp:positionH>
            <wp:positionV relativeFrom="paragraph">
              <wp:posOffset>-7345680</wp:posOffset>
            </wp:positionV>
            <wp:extent cx="889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3408680</wp:posOffset>
            </wp:positionH>
            <wp:positionV relativeFrom="paragraph">
              <wp:posOffset>-7345680</wp:posOffset>
            </wp:positionV>
            <wp:extent cx="825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3425825</wp:posOffset>
            </wp:positionH>
            <wp:positionV relativeFrom="paragraph">
              <wp:posOffset>-7345680</wp:posOffset>
            </wp:positionV>
            <wp:extent cx="825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-7345680</wp:posOffset>
            </wp:positionV>
            <wp:extent cx="825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3460115</wp:posOffset>
            </wp:positionH>
            <wp:positionV relativeFrom="paragraph">
              <wp:posOffset>-7345680</wp:posOffset>
            </wp:positionV>
            <wp:extent cx="889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3477260</wp:posOffset>
            </wp:positionH>
            <wp:positionV relativeFrom="paragraph">
              <wp:posOffset>-7345680</wp:posOffset>
            </wp:positionV>
            <wp:extent cx="889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-7345680</wp:posOffset>
            </wp:positionV>
            <wp:extent cx="825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3511550</wp:posOffset>
            </wp:positionH>
            <wp:positionV relativeFrom="paragraph">
              <wp:posOffset>-7345680</wp:posOffset>
            </wp:positionV>
            <wp:extent cx="825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3528695</wp:posOffset>
            </wp:positionH>
            <wp:positionV relativeFrom="paragraph">
              <wp:posOffset>-7345680</wp:posOffset>
            </wp:positionV>
            <wp:extent cx="825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-7345680</wp:posOffset>
            </wp:positionV>
            <wp:extent cx="889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-7345680</wp:posOffset>
            </wp:positionV>
            <wp:extent cx="889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3580130</wp:posOffset>
            </wp:positionH>
            <wp:positionV relativeFrom="paragraph">
              <wp:posOffset>-7345680</wp:posOffset>
            </wp:positionV>
            <wp:extent cx="825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3597275</wp:posOffset>
            </wp:positionH>
            <wp:positionV relativeFrom="paragraph">
              <wp:posOffset>-7345680</wp:posOffset>
            </wp:positionV>
            <wp:extent cx="825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3614420</wp:posOffset>
            </wp:positionH>
            <wp:positionV relativeFrom="paragraph">
              <wp:posOffset>-7345680</wp:posOffset>
            </wp:positionV>
            <wp:extent cx="889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3631565</wp:posOffset>
            </wp:positionH>
            <wp:positionV relativeFrom="paragraph">
              <wp:posOffset>-7345680</wp:posOffset>
            </wp:positionV>
            <wp:extent cx="889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3648710</wp:posOffset>
            </wp:positionH>
            <wp:positionV relativeFrom="paragraph">
              <wp:posOffset>-7345680</wp:posOffset>
            </wp:positionV>
            <wp:extent cx="825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3665855</wp:posOffset>
            </wp:positionH>
            <wp:positionV relativeFrom="paragraph">
              <wp:posOffset>-7345680</wp:posOffset>
            </wp:positionV>
            <wp:extent cx="825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3683000</wp:posOffset>
            </wp:positionH>
            <wp:positionV relativeFrom="paragraph">
              <wp:posOffset>-7345680</wp:posOffset>
            </wp:positionV>
            <wp:extent cx="825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3700145</wp:posOffset>
            </wp:positionH>
            <wp:positionV relativeFrom="paragraph">
              <wp:posOffset>-7345680</wp:posOffset>
            </wp:positionV>
            <wp:extent cx="889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3717290</wp:posOffset>
            </wp:positionH>
            <wp:positionV relativeFrom="paragraph">
              <wp:posOffset>-7345680</wp:posOffset>
            </wp:positionV>
            <wp:extent cx="889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3734435</wp:posOffset>
            </wp:positionH>
            <wp:positionV relativeFrom="paragraph">
              <wp:posOffset>-7345680</wp:posOffset>
            </wp:positionV>
            <wp:extent cx="825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3751580</wp:posOffset>
            </wp:positionH>
            <wp:positionV relativeFrom="paragraph">
              <wp:posOffset>-7345680</wp:posOffset>
            </wp:positionV>
            <wp:extent cx="825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3768725</wp:posOffset>
            </wp:positionH>
            <wp:positionV relativeFrom="paragraph">
              <wp:posOffset>-7345680</wp:posOffset>
            </wp:positionV>
            <wp:extent cx="825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3785870</wp:posOffset>
            </wp:positionH>
            <wp:positionV relativeFrom="paragraph">
              <wp:posOffset>-7345680</wp:posOffset>
            </wp:positionV>
            <wp:extent cx="889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3803015</wp:posOffset>
            </wp:positionH>
            <wp:positionV relativeFrom="paragraph">
              <wp:posOffset>-7345680</wp:posOffset>
            </wp:positionV>
            <wp:extent cx="889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3820160</wp:posOffset>
            </wp:positionH>
            <wp:positionV relativeFrom="paragraph">
              <wp:posOffset>-7345680</wp:posOffset>
            </wp:positionV>
            <wp:extent cx="825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-7345680</wp:posOffset>
            </wp:positionV>
            <wp:extent cx="825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-7345680</wp:posOffset>
            </wp:positionV>
            <wp:extent cx="825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3871595</wp:posOffset>
            </wp:positionH>
            <wp:positionV relativeFrom="paragraph">
              <wp:posOffset>-7345680</wp:posOffset>
            </wp:positionV>
            <wp:extent cx="889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3888740</wp:posOffset>
            </wp:positionH>
            <wp:positionV relativeFrom="paragraph">
              <wp:posOffset>-7345680</wp:posOffset>
            </wp:positionV>
            <wp:extent cx="889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3905885</wp:posOffset>
            </wp:positionH>
            <wp:positionV relativeFrom="paragraph">
              <wp:posOffset>-7345680</wp:posOffset>
            </wp:positionV>
            <wp:extent cx="825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3923030</wp:posOffset>
            </wp:positionH>
            <wp:positionV relativeFrom="paragraph">
              <wp:posOffset>-7345680</wp:posOffset>
            </wp:positionV>
            <wp:extent cx="825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3940175</wp:posOffset>
            </wp:positionH>
            <wp:positionV relativeFrom="paragraph">
              <wp:posOffset>-7345680</wp:posOffset>
            </wp:positionV>
            <wp:extent cx="825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3957320</wp:posOffset>
            </wp:positionH>
            <wp:positionV relativeFrom="paragraph">
              <wp:posOffset>-7345680</wp:posOffset>
            </wp:positionV>
            <wp:extent cx="889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-7345680</wp:posOffset>
            </wp:positionV>
            <wp:extent cx="889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3991610</wp:posOffset>
            </wp:positionH>
            <wp:positionV relativeFrom="paragraph">
              <wp:posOffset>-7345680</wp:posOffset>
            </wp:positionV>
            <wp:extent cx="825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4008755</wp:posOffset>
            </wp:positionH>
            <wp:positionV relativeFrom="paragraph">
              <wp:posOffset>-7345680</wp:posOffset>
            </wp:positionV>
            <wp:extent cx="825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4025900</wp:posOffset>
            </wp:positionH>
            <wp:positionV relativeFrom="paragraph">
              <wp:posOffset>-7345680</wp:posOffset>
            </wp:positionV>
            <wp:extent cx="825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4043045</wp:posOffset>
            </wp:positionH>
            <wp:positionV relativeFrom="paragraph">
              <wp:posOffset>-7345680</wp:posOffset>
            </wp:positionV>
            <wp:extent cx="889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4060190</wp:posOffset>
            </wp:positionH>
            <wp:positionV relativeFrom="paragraph">
              <wp:posOffset>-7345680</wp:posOffset>
            </wp:positionV>
            <wp:extent cx="889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4077335</wp:posOffset>
            </wp:positionH>
            <wp:positionV relativeFrom="paragraph">
              <wp:posOffset>-7345680</wp:posOffset>
            </wp:positionV>
            <wp:extent cx="825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4094480</wp:posOffset>
            </wp:positionH>
            <wp:positionV relativeFrom="paragraph">
              <wp:posOffset>-7345680</wp:posOffset>
            </wp:positionV>
            <wp:extent cx="825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4111625</wp:posOffset>
            </wp:positionH>
            <wp:positionV relativeFrom="paragraph">
              <wp:posOffset>-7345680</wp:posOffset>
            </wp:positionV>
            <wp:extent cx="825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4128770</wp:posOffset>
            </wp:positionH>
            <wp:positionV relativeFrom="paragraph">
              <wp:posOffset>-7345680</wp:posOffset>
            </wp:positionV>
            <wp:extent cx="889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4145915</wp:posOffset>
            </wp:positionH>
            <wp:positionV relativeFrom="paragraph">
              <wp:posOffset>-7345680</wp:posOffset>
            </wp:positionV>
            <wp:extent cx="889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4163060</wp:posOffset>
            </wp:positionH>
            <wp:positionV relativeFrom="paragraph">
              <wp:posOffset>-7345680</wp:posOffset>
            </wp:positionV>
            <wp:extent cx="825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4180205</wp:posOffset>
            </wp:positionH>
            <wp:positionV relativeFrom="paragraph">
              <wp:posOffset>-7345680</wp:posOffset>
            </wp:positionV>
            <wp:extent cx="825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4197350</wp:posOffset>
            </wp:positionH>
            <wp:positionV relativeFrom="paragraph">
              <wp:posOffset>-7345680</wp:posOffset>
            </wp:positionV>
            <wp:extent cx="825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4214495</wp:posOffset>
            </wp:positionH>
            <wp:positionV relativeFrom="paragraph">
              <wp:posOffset>-7345680</wp:posOffset>
            </wp:positionV>
            <wp:extent cx="889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4231640</wp:posOffset>
            </wp:positionH>
            <wp:positionV relativeFrom="paragraph">
              <wp:posOffset>-7345680</wp:posOffset>
            </wp:positionV>
            <wp:extent cx="889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4248785</wp:posOffset>
            </wp:positionH>
            <wp:positionV relativeFrom="paragraph">
              <wp:posOffset>-7345680</wp:posOffset>
            </wp:positionV>
            <wp:extent cx="825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4265930</wp:posOffset>
            </wp:positionH>
            <wp:positionV relativeFrom="paragraph">
              <wp:posOffset>-7345680</wp:posOffset>
            </wp:positionV>
            <wp:extent cx="825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-7345680</wp:posOffset>
            </wp:positionV>
            <wp:extent cx="825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4300220</wp:posOffset>
            </wp:positionH>
            <wp:positionV relativeFrom="paragraph">
              <wp:posOffset>-7345680</wp:posOffset>
            </wp:positionV>
            <wp:extent cx="889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4317365</wp:posOffset>
            </wp:positionH>
            <wp:positionV relativeFrom="paragraph">
              <wp:posOffset>-7345680</wp:posOffset>
            </wp:positionV>
            <wp:extent cx="825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4334510</wp:posOffset>
            </wp:positionH>
            <wp:positionV relativeFrom="paragraph">
              <wp:posOffset>-7345680</wp:posOffset>
            </wp:positionV>
            <wp:extent cx="825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4351655</wp:posOffset>
            </wp:positionH>
            <wp:positionV relativeFrom="paragraph">
              <wp:posOffset>-7345680</wp:posOffset>
            </wp:positionV>
            <wp:extent cx="825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4368800</wp:posOffset>
            </wp:positionH>
            <wp:positionV relativeFrom="paragraph">
              <wp:posOffset>-7345680</wp:posOffset>
            </wp:positionV>
            <wp:extent cx="889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4385945</wp:posOffset>
            </wp:positionH>
            <wp:positionV relativeFrom="paragraph">
              <wp:posOffset>-7345680</wp:posOffset>
            </wp:positionV>
            <wp:extent cx="889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4403090</wp:posOffset>
            </wp:positionH>
            <wp:positionV relativeFrom="paragraph">
              <wp:posOffset>-7345680</wp:posOffset>
            </wp:positionV>
            <wp:extent cx="825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4420235</wp:posOffset>
            </wp:positionH>
            <wp:positionV relativeFrom="paragraph">
              <wp:posOffset>-7345680</wp:posOffset>
            </wp:positionV>
            <wp:extent cx="825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4437380</wp:posOffset>
            </wp:positionH>
            <wp:positionV relativeFrom="paragraph">
              <wp:posOffset>-7345680</wp:posOffset>
            </wp:positionV>
            <wp:extent cx="825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4454525</wp:posOffset>
            </wp:positionH>
            <wp:positionV relativeFrom="paragraph">
              <wp:posOffset>-7345680</wp:posOffset>
            </wp:positionV>
            <wp:extent cx="889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4471670</wp:posOffset>
            </wp:positionH>
            <wp:positionV relativeFrom="paragraph">
              <wp:posOffset>-7345680</wp:posOffset>
            </wp:positionV>
            <wp:extent cx="889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4488815</wp:posOffset>
            </wp:positionH>
            <wp:positionV relativeFrom="paragraph">
              <wp:posOffset>-7345680</wp:posOffset>
            </wp:positionV>
            <wp:extent cx="825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4505960</wp:posOffset>
            </wp:positionH>
            <wp:positionV relativeFrom="paragraph">
              <wp:posOffset>-7345680</wp:posOffset>
            </wp:positionV>
            <wp:extent cx="825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4523105</wp:posOffset>
            </wp:positionH>
            <wp:positionV relativeFrom="paragraph">
              <wp:posOffset>-7345680</wp:posOffset>
            </wp:positionV>
            <wp:extent cx="825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4540250</wp:posOffset>
            </wp:positionH>
            <wp:positionV relativeFrom="paragraph">
              <wp:posOffset>-7345680</wp:posOffset>
            </wp:positionV>
            <wp:extent cx="889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4557395</wp:posOffset>
            </wp:positionH>
            <wp:positionV relativeFrom="paragraph">
              <wp:posOffset>-7345680</wp:posOffset>
            </wp:positionV>
            <wp:extent cx="889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4574540</wp:posOffset>
            </wp:positionH>
            <wp:positionV relativeFrom="paragraph">
              <wp:posOffset>-7345680</wp:posOffset>
            </wp:positionV>
            <wp:extent cx="825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4591685</wp:posOffset>
            </wp:positionH>
            <wp:positionV relativeFrom="paragraph">
              <wp:posOffset>-7345680</wp:posOffset>
            </wp:positionV>
            <wp:extent cx="825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4608830</wp:posOffset>
            </wp:positionH>
            <wp:positionV relativeFrom="paragraph">
              <wp:posOffset>-7345680</wp:posOffset>
            </wp:positionV>
            <wp:extent cx="825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4625975</wp:posOffset>
            </wp:positionH>
            <wp:positionV relativeFrom="paragraph">
              <wp:posOffset>-7345680</wp:posOffset>
            </wp:positionV>
            <wp:extent cx="889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4643120</wp:posOffset>
            </wp:positionH>
            <wp:positionV relativeFrom="paragraph">
              <wp:posOffset>-7345680</wp:posOffset>
            </wp:positionV>
            <wp:extent cx="889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4660265</wp:posOffset>
            </wp:positionH>
            <wp:positionV relativeFrom="paragraph">
              <wp:posOffset>-7345680</wp:posOffset>
            </wp:positionV>
            <wp:extent cx="825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4677410</wp:posOffset>
            </wp:positionH>
            <wp:positionV relativeFrom="paragraph">
              <wp:posOffset>-7345680</wp:posOffset>
            </wp:positionV>
            <wp:extent cx="825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4694555</wp:posOffset>
            </wp:positionH>
            <wp:positionV relativeFrom="paragraph">
              <wp:posOffset>-7345680</wp:posOffset>
            </wp:positionV>
            <wp:extent cx="825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4711700</wp:posOffset>
            </wp:positionH>
            <wp:positionV relativeFrom="paragraph">
              <wp:posOffset>-7345680</wp:posOffset>
            </wp:positionV>
            <wp:extent cx="889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4728845</wp:posOffset>
            </wp:positionH>
            <wp:positionV relativeFrom="paragraph">
              <wp:posOffset>-7345680</wp:posOffset>
            </wp:positionV>
            <wp:extent cx="889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4745990</wp:posOffset>
            </wp:positionH>
            <wp:positionV relativeFrom="paragraph">
              <wp:posOffset>-7345680</wp:posOffset>
            </wp:positionV>
            <wp:extent cx="825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4763135</wp:posOffset>
            </wp:positionH>
            <wp:positionV relativeFrom="paragraph">
              <wp:posOffset>-7345680</wp:posOffset>
            </wp:positionV>
            <wp:extent cx="8255"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4780280</wp:posOffset>
            </wp:positionH>
            <wp:positionV relativeFrom="paragraph">
              <wp:posOffset>-7345680</wp:posOffset>
            </wp:positionV>
            <wp:extent cx="825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4797425</wp:posOffset>
            </wp:positionH>
            <wp:positionV relativeFrom="paragraph">
              <wp:posOffset>-7345680</wp:posOffset>
            </wp:positionV>
            <wp:extent cx="889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4814570</wp:posOffset>
            </wp:positionH>
            <wp:positionV relativeFrom="paragraph">
              <wp:posOffset>-7345680</wp:posOffset>
            </wp:positionV>
            <wp:extent cx="889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4831715</wp:posOffset>
            </wp:positionH>
            <wp:positionV relativeFrom="paragraph">
              <wp:posOffset>-7345680</wp:posOffset>
            </wp:positionV>
            <wp:extent cx="825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4848860</wp:posOffset>
            </wp:positionH>
            <wp:positionV relativeFrom="paragraph">
              <wp:posOffset>-7345680</wp:posOffset>
            </wp:positionV>
            <wp:extent cx="825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4866005</wp:posOffset>
            </wp:positionH>
            <wp:positionV relativeFrom="paragraph">
              <wp:posOffset>-7345680</wp:posOffset>
            </wp:positionV>
            <wp:extent cx="825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4883150</wp:posOffset>
            </wp:positionH>
            <wp:positionV relativeFrom="paragraph">
              <wp:posOffset>-7345680</wp:posOffset>
            </wp:positionV>
            <wp:extent cx="889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4900295</wp:posOffset>
            </wp:positionH>
            <wp:positionV relativeFrom="paragraph">
              <wp:posOffset>-7345680</wp:posOffset>
            </wp:positionV>
            <wp:extent cx="889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4917440</wp:posOffset>
            </wp:positionH>
            <wp:positionV relativeFrom="paragraph">
              <wp:posOffset>-7345680</wp:posOffset>
            </wp:positionV>
            <wp:extent cx="825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4934585</wp:posOffset>
            </wp:positionH>
            <wp:positionV relativeFrom="paragraph">
              <wp:posOffset>-7345680</wp:posOffset>
            </wp:positionV>
            <wp:extent cx="825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4951730</wp:posOffset>
            </wp:positionH>
            <wp:positionV relativeFrom="paragraph">
              <wp:posOffset>-7345680</wp:posOffset>
            </wp:positionV>
            <wp:extent cx="8255"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4968875</wp:posOffset>
            </wp:positionH>
            <wp:positionV relativeFrom="paragraph">
              <wp:posOffset>-7345680</wp:posOffset>
            </wp:positionV>
            <wp:extent cx="889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4986020</wp:posOffset>
            </wp:positionH>
            <wp:positionV relativeFrom="paragraph">
              <wp:posOffset>-7345680</wp:posOffset>
            </wp:positionV>
            <wp:extent cx="825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5003165</wp:posOffset>
            </wp:positionH>
            <wp:positionV relativeFrom="paragraph">
              <wp:posOffset>-7345680</wp:posOffset>
            </wp:positionV>
            <wp:extent cx="8255"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5020310</wp:posOffset>
            </wp:positionH>
            <wp:positionV relativeFrom="paragraph">
              <wp:posOffset>-7345680</wp:posOffset>
            </wp:positionV>
            <wp:extent cx="825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5037455</wp:posOffset>
            </wp:positionH>
            <wp:positionV relativeFrom="paragraph">
              <wp:posOffset>-7345680</wp:posOffset>
            </wp:positionV>
            <wp:extent cx="889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5054600</wp:posOffset>
            </wp:positionH>
            <wp:positionV relativeFrom="paragraph">
              <wp:posOffset>-7345680</wp:posOffset>
            </wp:positionV>
            <wp:extent cx="889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5071745</wp:posOffset>
            </wp:positionH>
            <wp:positionV relativeFrom="paragraph">
              <wp:posOffset>-7345680</wp:posOffset>
            </wp:positionV>
            <wp:extent cx="8255"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5088890</wp:posOffset>
            </wp:positionH>
            <wp:positionV relativeFrom="paragraph">
              <wp:posOffset>-7345680</wp:posOffset>
            </wp:positionV>
            <wp:extent cx="825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5106035</wp:posOffset>
            </wp:positionH>
            <wp:positionV relativeFrom="paragraph">
              <wp:posOffset>-7345680</wp:posOffset>
            </wp:positionV>
            <wp:extent cx="825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5123180</wp:posOffset>
            </wp:positionH>
            <wp:positionV relativeFrom="paragraph">
              <wp:posOffset>-7345680</wp:posOffset>
            </wp:positionV>
            <wp:extent cx="889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5140325</wp:posOffset>
            </wp:positionH>
            <wp:positionV relativeFrom="paragraph">
              <wp:posOffset>-7345680</wp:posOffset>
            </wp:positionV>
            <wp:extent cx="889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5157470</wp:posOffset>
            </wp:positionH>
            <wp:positionV relativeFrom="paragraph">
              <wp:posOffset>-7345680</wp:posOffset>
            </wp:positionV>
            <wp:extent cx="825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5174615</wp:posOffset>
            </wp:positionH>
            <wp:positionV relativeFrom="paragraph">
              <wp:posOffset>-7345680</wp:posOffset>
            </wp:positionV>
            <wp:extent cx="825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5191760</wp:posOffset>
            </wp:positionH>
            <wp:positionV relativeFrom="paragraph">
              <wp:posOffset>-7345680</wp:posOffset>
            </wp:positionV>
            <wp:extent cx="8255"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5208905</wp:posOffset>
            </wp:positionH>
            <wp:positionV relativeFrom="paragraph">
              <wp:posOffset>-7345680</wp:posOffset>
            </wp:positionV>
            <wp:extent cx="889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5226050</wp:posOffset>
            </wp:positionH>
            <wp:positionV relativeFrom="paragraph">
              <wp:posOffset>-7345680</wp:posOffset>
            </wp:positionV>
            <wp:extent cx="889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5243195</wp:posOffset>
            </wp:positionH>
            <wp:positionV relativeFrom="paragraph">
              <wp:posOffset>-7345680</wp:posOffset>
            </wp:positionV>
            <wp:extent cx="825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-7345680</wp:posOffset>
            </wp:positionV>
            <wp:extent cx="825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-7345680</wp:posOffset>
            </wp:positionV>
            <wp:extent cx="8255"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-7345680</wp:posOffset>
            </wp:positionV>
            <wp:extent cx="889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-7345680</wp:posOffset>
            </wp:positionV>
            <wp:extent cx="889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-7345680</wp:posOffset>
            </wp:positionV>
            <wp:extent cx="825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-7345680</wp:posOffset>
            </wp:positionV>
            <wp:extent cx="8255"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-7345680</wp:posOffset>
            </wp:positionV>
            <wp:extent cx="825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-7345680</wp:posOffset>
            </wp:positionV>
            <wp:extent cx="889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-7345680</wp:posOffset>
            </wp:positionV>
            <wp:extent cx="889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-7345680</wp:posOffset>
            </wp:positionV>
            <wp:extent cx="8255"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-7345680</wp:posOffset>
            </wp:positionV>
            <wp:extent cx="8255"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-7345680</wp:posOffset>
            </wp:positionV>
            <wp:extent cx="8255"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-7345680</wp:posOffset>
            </wp:positionV>
            <wp:extent cx="889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-7345680</wp:posOffset>
            </wp:positionV>
            <wp:extent cx="889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-7345680</wp:posOffset>
            </wp:positionV>
            <wp:extent cx="8255"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-7345680</wp:posOffset>
            </wp:positionV>
            <wp:extent cx="8255"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-7345680</wp:posOffset>
            </wp:positionV>
            <wp:extent cx="8255"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-7440295</wp:posOffset>
            </wp:positionV>
            <wp:extent cx="5648960" cy="692658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5648960" cy="692658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-7440295</wp:posOffset>
            </wp:positionV>
            <wp:extent cx="5648960" cy="692658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5648960" cy="6926580"/>
                    </a:xfrm>
                    <a:prstGeom prst="rect">
                      <a:avLst/>
                    </a:prstGeom>
                    <a:noFill/>
                  </pic:spPr>
                </pic:pic>
              </a:graphicData>
            </a:graphic>
          </wp:anchor>
        </w:drawing>
      </w:r>
    </w:p>
    <w:p>
      <w:pPr>
        <w:sectPr>
          <w:pgSz w:w="11900" w:h="16838" w:orient="portrait"/>
          <w:cols w:equalWidth="0" w:num="1">
            <w:col w:w="9019"/>
          </w:cols>
          <w:pgMar w:left="1440" w:top="670" w:right="1440" w:bottom="1440" w:gutter="0" w:footer="0" w:header="0"/>
        </w:sectPr>
      </w:pPr>
    </w:p>
    <w:bookmarkStart w:id="65" w:name="page66"/>
    <w:bookmarkEnd w:id="65"/>
    <w:tbl>
      <w:tblPr>
        <w:tblLayout w:type="fixed"/>
        <w:tblInd w:w="40" w:type="dxa"/>
        <w:tblCellMar>
          <w:top w:w="0" w:type="dxa"/>
          <w:left w:w="0" w:type="dxa"/>
          <w:bottom w:w="0" w:type="dxa"/>
          <w:right w:w="0" w:type="dxa"/>
        </w:tblCellMar>
      </w:tblPr>
      <w:tr>
        <w:trPr>
          <w:trHeight w:val="190"/>
        </w:trPr>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gridSpan w:val="3"/>
          </w:tcPr>
          <w:p>
            <w:pPr>
              <w:jc w:val="right"/>
              <w:spacing w:after="0"/>
              <w:rPr>
                <w:sz w:val="20"/>
                <w:szCs w:val="20"/>
                <w:color w:val="auto"/>
              </w:rPr>
            </w:pPr>
            <w:r>
              <w:rPr>
                <w:rFonts w:ascii="Arial" w:cs="Arial" w:eastAsia="Arial" w:hAnsi="Arial"/>
                <w:sz w:val="14"/>
                <w:szCs w:val="14"/>
                <w:color w:val="auto"/>
              </w:rPr>
              <w:t>2</w:t>
            </w:r>
          </w:p>
        </w:tc>
      </w:tr>
      <w:tr>
        <w:trPr>
          <w:trHeight w:val="427"/>
        </w:trPr>
        <w:tc>
          <w:tcPr>
            <w:tcW w:w="1160" w:type="dxa"/>
            <w:vAlign w:val="bottom"/>
          </w:tcPr>
          <w:p>
            <w:pPr>
              <w:spacing w:after="0"/>
              <w:rPr>
                <w:sz w:val="20"/>
                <w:szCs w:val="20"/>
                <w:color w:val="auto"/>
              </w:rPr>
            </w:pPr>
            <w:r>
              <w:rPr>
                <w:rFonts w:ascii="Arial" w:cs="Arial" w:eastAsia="Arial" w:hAnsi="Arial"/>
                <w:sz w:val="20"/>
                <w:szCs w:val="20"/>
                <w:color w:val="0000EE"/>
                <w:w w:val="95"/>
              </w:rPr>
              <w:t>Section 7.02.</w:t>
            </w:r>
          </w:p>
        </w:tc>
        <w:tc>
          <w:tcPr>
            <w:tcW w:w="100" w:type="dxa"/>
            <w:vAlign w:val="bottom"/>
          </w:tcPr>
          <w:p>
            <w:pPr>
              <w:spacing w:after="0"/>
              <w:rPr>
                <w:sz w:val="24"/>
                <w:szCs w:val="24"/>
                <w:color w:val="auto"/>
              </w:rPr>
            </w:pPr>
          </w:p>
        </w:tc>
        <w:tc>
          <w:tcPr>
            <w:tcW w:w="7420" w:type="dxa"/>
            <w:vAlign w:val="bottom"/>
            <w:gridSpan w:val="18"/>
          </w:tcPr>
          <w:p>
            <w:pPr>
              <w:ind w:left="680"/>
              <w:spacing w:after="0"/>
              <w:rPr>
                <w:sz w:val="20"/>
                <w:szCs w:val="20"/>
                <w:color w:val="auto"/>
              </w:rPr>
            </w:pPr>
            <w:r>
              <w:rPr>
                <w:rFonts w:ascii="Arial" w:cs="Arial" w:eastAsia="Arial" w:hAnsi="Arial"/>
                <w:sz w:val="20"/>
                <w:szCs w:val="20"/>
                <w:color w:val="0000EE"/>
              </w:rPr>
              <w:t>Reporting.</w:t>
            </w:r>
          </w:p>
        </w:tc>
        <w:tc>
          <w:tcPr>
            <w:tcW w:w="220" w:type="dxa"/>
            <w:vAlign w:val="bottom"/>
            <w:gridSpan w:val="3"/>
          </w:tcPr>
          <w:p>
            <w:pPr>
              <w:jc w:val="right"/>
              <w:spacing w:after="0"/>
              <w:rPr>
                <w:sz w:val="20"/>
                <w:szCs w:val="20"/>
                <w:color w:val="auto"/>
              </w:rPr>
            </w:pPr>
            <w:r>
              <w:rPr>
                <w:rFonts w:ascii="Arial" w:cs="Arial" w:eastAsia="Arial" w:hAnsi="Arial"/>
                <w:sz w:val="20"/>
                <w:szCs w:val="20"/>
                <w:color w:val="0000EE"/>
              </w:rPr>
              <w:t>8</w:t>
            </w:r>
          </w:p>
        </w:tc>
      </w:tr>
      <w:tr>
        <w:trPr>
          <w:trHeight w:val="20"/>
        </w:trPr>
        <w:tc>
          <w:tcPr>
            <w:tcW w:w="1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70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439"/>
        </w:trPr>
        <w:tc>
          <w:tcPr>
            <w:tcW w:w="5420" w:type="dxa"/>
            <w:vAlign w:val="bottom"/>
            <w:tcBorders>
              <w:bottom w:val="single" w:sz="8" w:color="0000EE"/>
            </w:tcBorders>
            <w:gridSpan w:val="17"/>
          </w:tcPr>
          <w:p>
            <w:pPr>
              <w:spacing w:after="0"/>
              <w:rPr>
                <w:sz w:val="20"/>
                <w:szCs w:val="20"/>
                <w:color w:val="auto"/>
              </w:rPr>
            </w:pPr>
            <w:r>
              <w:rPr>
                <w:rFonts w:ascii="Arial" w:cs="Arial" w:eastAsia="Arial" w:hAnsi="Arial"/>
                <w:sz w:val="20"/>
                <w:szCs w:val="20"/>
                <w:color w:val="0000EE"/>
                <w:highlight w:val="white"/>
                <w:w w:val="98"/>
              </w:rPr>
              <w:t>ARTICLE 8 OFFICERS | EXECUTIVE MANAGEMENT TEAM</w:t>
            </w:r>
          </w:p>
        </w:tc>
        <w:tc>
          <w:tcPr>
            <w:tcW w:w="3260" w:type="dxa"/>
            <w:vAlign w:val="bottom"/>
            <w:gridSpan w:val="3"/>
          </w:tcPr>
          <w:p>
            <w:pPr>
              <w:spacing w:after="0"/>
              <w:rPr>
                <w:sz w:val="24"/>
                <w:szCs w:val="24"/>
                <w:color w:val="auto"/>
              </w:rPr>
            </w:pPr>
          </w:p>
        </w:tc>
        <w:tc>
          <w:tcPr>
            <w:tcW w:w="100" w:type="dxa"/>
            <w:vAlign w:val="bottom"/>
            <w:gridSpan w:val="2"/>
          </w:tcPr>
          <w:p>
            <w:pPr>
              <w:spacing w:after="0"/>
              <w:rPr>
                <w:sz w:val="24"/>
                <w:szCs w:val="24"/>
                <w:color w:val="auto"/>
              </w:rPr>
            </w:pPr>
          </w:p>
        </w:tc>
        <w:tc>
          <w:tcPr>
            <w:tcW w:w="120" w:type="dxa"/>
            <w:vAlign w:val="bottom"/>
            <w:tcBorders>
              <w:bottom w:val="single" w:sz="8" w:color="0000EE"/>
            </w:tcBorders>
          </w:tcPr>
          <w:p>
            <w:pPr>
              <w:jc w:val="right"/>
              <w:spacing w:after="0"/>
              <w:rPr>
                <w:sz w:val="20"/>
                <w:szCs w:val="20"/>
                <w:color w:val="auto"/>
              </w:rPr>
            </w:pPr>
            <w:r>
              <w:rPr>
                <w:rFonts w:ascii="Arial" w:cs="Arial" w:eastAsia="Arial" w:hAnsi="Arial"/>
                <w:sz w:val="20"/>
                <w:szCs w:val="20"/>
                <w:color w:val="0000EE"/>
                <w:w w:val="89"/>
              </w:rPr>
              <w:t>8</w:t>
            </w:r>
          </w:p>
        </w:tc>
      </w:tr>
      <w:tr>
        <w:trPr>
          <w:trHeight w:val="304"/>
        </w:trPr>
        <w:tc>
          <w:tcPr>
            <w:tcW w:w="1160" w:type="dxa"/>
            <w:vAlign w:val="bottom"/>
          </w:tcPr>
          <w:p>
            <w:pPr>
              <w:spacing w:after="0"/>
              <w:rPr>
                <w:sz w:val="20"/>
                <w:szCs w:val="20"/>
                <w:color w:val="auto"/>
              </w:rPr>
            </w:pPr>
            <w:r>
              <w:rPr>
                <w:rFonts w:ascii="Arial" w:cs="Arial" w:eastAsia="Arial" w:hAnsi="Arial"/>
                <w:sz w:val="20"/>
                <w:szCs w:val="20"/>
                <w:color w:val="0000EE"/>
                <w:w w:val="95"/>
              </w:rPr>
              <w:t>Section 8.01.</w:t>
            </w:r>
          </w:p>
        </w:tc>
        <w:tc>
          <w:tcPr>
            <w:tcW w:w="100" w:type="dxa"/>
            <w:vAlign w:val="bottom"/>
          </w:tcPr>
          <w:p>
            <w:pPr>
              <w:spacing w:after="0"/>
              <w:rPr>
                <w:sz w:val="24"/>
                <w:szCs w:val="24"/>
                <w:color w:val="auto"/>
              </w:rPr>
            </w:pPr>
          </w:p>
        </w:tc>
        <w:tc>
          <w:tcPr>
            <w:tcW w:w="7420" w:type="dxa"/>
            <w:vAlign w:val="bottom"/>
            <w:gridSpan w:val="18"/>
          </w:tcPr>
          <w:p>
            <w:pPr>
              <w:ind w:left="680"/>
              <w:spacing w:after="0"/>
              <w:rPr>
                <w:sz w:val="20"/>
                <w:szCs w:val="20"/>
                <w:color w:val="auto"/>
              </w:rPr>
            </w:pPr>
            <w:r>
              <w:rPr>
                <w:rFonts w:ascii="Arial" w:cs="Arial" w:eastAsia="Arial" w:hAnsi="Arial"/>
                <w:sz w:val="20"/>
                <w:szCs w:val="20"/>
                <w:color w:val="0000EE"/>
              </w:rPr>
              <w:t>Officers.</w:t>
            </w:r>
          </w:p>
        </w:tc>
        <w:tc>
          <w:tcPr>
            <w:tcW w:w="220" w:type="dxa"/>
            <w:vAlign w:val="bottom"/>
            <w:gridSpan w:val="3"/>
          </w:tcPr>
          <w:p>
            <w:pPr>
              <w:jc w:val="right"/>
              <w:spacing w:after="0"/>
              <w:rPr>
                <w:sz w:val="20"/>
                <w:szCs w:val="20"/>
                <w:color w:val="auto"/>
              </w:rPr>
            </w:pPr>
            <w:r>
              <w:rPr>
                <w:rFonts w:ascii="Arial" w:cs="Arial" w:eastAsia="Arial" w:hAnsi="Arial"/>
                <w:sz w:val="20"/>
                <w:szCs w:val="20"/>
                <w:color w:val="0000EE"/>
              </w:rPr>
              <w:t>8</w:t>
            </w:r>
          </w:p>
        </w:tc>
      </w:tr>
      <w:tr>
        <w:trPr>
          <w:trHeight w:val="20"/>
        </w:trPr>
        <w:tc>
          <w:tcPr>
            <w:tcW w:w="1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70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453"/>
        </w:trPr>
        <w:tc>
          <w:tcPr>
            <w:tcW w:w="1160" w:type="dxa"/>
            <w:vAlign w:val="bottom"/>
          </w:tcPr>
          <w:p>
            <w:pPr>
              <w:spacing w:after="0"/>
              <w:rPr>
                <w:sz w:val="20"/>
                <w:szCs w:val="20"/>
                <w:color w:val="auto"/>
              </w:rPr>
            </w:pPr>
            <w:r>
              <w:rPr>
                <w:rFonts w:ascii="Arial" w:cs="Arial" w:eastAsia="Arial" w:hAnsi="Arial"/>
                <w:sz w:val="20"/>
                <w:szCs w:val="20"/>
                <w:color w:val="0000EE"/>
                <w:w w:val="95"/>
              </w:rPr>
              <w:t>Section 8.02.</w:t>
            </w:r>
          </w:p>
        </w:tc>
        <w:tc>
          <w:tcPr>
            <w:tcW w:w="100" w:type="dxa"/>
            <w:vAlign w:val="bottom"/>
          </w:tcPr>
          <w:p>
            <w:pPr>
              <w:spacing w:after="0"/>
              <w:rPr>
                <w:sz w:val="24"/>
                <w:szCs w:val="24"/>
                <w:color w:val="auto"/>
              </w:rPr>
            </w:pPr>
          </w:p>
        </w:tc>
        <w:tc>
          <w:tcPr>
            <w:tcW w:w="7420" w:type="dxa"/>
            <w:vAlign w:val="bottom"/>
            <w:gridSpan w:val="18"/>
          </w:tcPr>
          <w:p>
            <w:pPr>
              <w:ind w:left="680"/>
              <w:spacing w:after="0"/>
              <w:rPr>
                <w:sz w:val="20"/>
                <w:szCs w:val="20"/>
                <w:color w:val="auto"/>
              </w:rPr>
            </w:pPr>
            <w:r>
              <w:rPr>
                <w:rFonts w:ascii="Arial" w:cs="Arial" w:eastAsia="Arial" w:hAnsi="Arial"/>
                <w:sz w:val="20"/>
                <w:szCs w:val="20"/>
                <w:color w:val="0000EE"/>
              </w:rPr>
              <w:t>Executive Management Team.</w:t>
            </w:r>
          </w:p>
        </w:tc>
        <w:tc>
          <w:tcPr>
            <w:tcW w:w="220" w:type="dxa"/>
            <w:vAlign w:val="bottom"/>
            <w:gridSpan w:val="3"/>
          </w:tcPr>
          <w:p>
            <w:pPr>
              <w:jc w:val="right"/>
              <w:spacing w:after="0"/>
              <w:rPr>
                <w:sz w:val="20"/>
                <w:szCs w:val="20"/>
                <w:color w:val="auto"/>
              </w:rPr>
            </w:pPr>
            <w:r>
              <w:rPr>
                <w:rFonts w:ascii="Arial" w:cs="Arial" w:eastAsia="Arial" w:hAnsi="Arial"/>
                <w:sz w:val="20"/>
                <w:szCs w:val="20"/>
                <w:color w:val="0000EE"/>
              </w:rPr>
              <w:t>9</w:t>
            </w:r>
          </w:p>
        </w:tc>
      </w:tr>
      <w:tr>
        <w:trPr>
          <w:trHeight w:val="20"/>
        </w:trPr>
        <w:tc>
          <w:tcPr>
            <w:tcW w:w="1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70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453"/>
        </w:trPr>
        <w:tc>
          <w:tcPr>
            <w:tcW w:w="1160" w:type="dxa"/>
            <w:vAlign w:val="bottom"/>
          </w:tcPr>
          <w:p>
            <w:pPr>
              <w:spacing w:after="0"/>
              <w:rPr>
                <w:sz w:val="20"/>
                <w:szCs w:val="20"/>
                <w:color w:val="auto"/>
              </w:rPr>
            </w:pPr>
            <w:r>
              <w:rPr>
                <w:rFonts w:ascii="Arial" w:cs="Arial" w:eastAsia="Arial" w:hAnsi="Arial"/>
                <w:sz w:val="20"/>
                <w:szCs w:val="20"/>
                <w:color w:val="0000EE"/>
                <w:w w:val="95"/>
              </w:rPr>
              <w:t>Section 8.03.</w:t>
            </w:r>
          </w:p>
        </w:tc>
        <w:tc>
          <w:tcPr>
            <w:tcW w:w="100" w:type="dxa"/>
            <w:vAlign w:val="bottom"/>
          </w:tcPr>
          <w:p>
            <w:pPr>
              <w:spacing w:after="0"/>
              <w:rPr>
                <w:sz w:val="24"/>
                <w:szCs w:val="24"/>
                <w:color w:val="auto"/>
              </w:rPr>
            </w:pPr>
          </w:p>
        </w:tc>
        <w:tc>
          <w:tcPr>
            <w:tcW w:w="7420" w:type="dxa"/>
            <w:vAlign w:val="bottom"/>
            <w:gridSpan w:val="18"/>
          </w:tcPr>
          <w:p>
            <w:pPr>
              <w:ind w:left="680"/>
              <w:spacing w:after="0"/>
              <w:rPr>
                <w:sz w:val="20"/>
                <w:szCs w:val="20"/>
                <w:color w:val="auto"/>
              </w:rPr>
            </w:pPr>
            <w:r>
              <w:rPr>
                <w:rFonts w:ascii="Arial" w:cs="Arial" w:eastAsia="Arial" w:hAnsi="Arial"/>
                <w:sz w:val="20"/>
                <w:szCs w:val="20"/>
                <w:color w:val="0000EE"/>
              </w:rPr>
              <w:t>Term of Office.</w:t>
            </w:r>
          </w:p>
        </w:tc>
        <w:tc>
          <w:tcPr>
            <w:tcW w:w="220" w:type="dxa"/>
            <w:vAlign w:val="bottom"/>
            <w:gridSpan w:val="3"/>
          </w:tcPr>
          <w:p>
            <w:pPr>
              <w:jc w:val="right"/>
              <w:spacing w:after="0"/>
              <w:rPr>
                <w:sz w:val="20"/>
                <w:szCs w:val="20"/>
                <w:color w:val="auto"/>
              </w:rPr>
            </w:pPr>
            <w:r>
              <w:rPr>
                <w:rFonts w:ascii="Arial" w:cs="Arial" w:eastAsia="Arial" w:hAnsi="Arial"/>
                <w:sz w:val="20"/>
                <w:szCs w:val="20"/>
                <w:color w:val="0000EE"/>
              </w:rPr>
              <w:t>9</w:t>
            </w:r>
          </w:p>
        </w:tc>
      </w:tr>
      <w:tr>
        <w:trPr>
          <w:trHeight w:val="20"/>
        </w:trPr>
        <w:tc>
          <w:tcPr>
            <w:tcW w:w="1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70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439"/>
        </w:trPr>
        <w:tc>
          <w:tcPr>
            <w:tcW w:w="8680" w:type="dxa"/>
            <w:vAlign w:val="bottom"/>
            <w:gridSpan w:val="20"/>
          </w:tcPr>
          <w:p>
            <w:pPr>
              <w:spacing w:after="0"/>
              <w:rPr>
                <w:sz w:val="20"/>
                <w:szCs w:val="20"/>
                <w:color w:val="auto"/>
              </w:rPr>
            </w:pPr>
            <w:r>
              <w:rPr>
                <w:rFonts w:ascii="Arial" w:cs="Arial" w:eastAsia="Arial" w:hAnsi="Arial"/>
                <w:sz w:val="20"/>
                <w:szCs w:val="20"/>
                <w:color w:val="0000EE"/>
                <w:highlight w:val="white"/>
              </w:rPr>
              <w:t>ARTICLE 9 FISCAL YEAR</w:t>
            </w:r>
          </w:p>
        </w:tc>
        <w:tc>
          <w:tcPr>
            <w:tcW w:w="220" w:type="dxa"/>
            <w:vAlign w:val="bottom"/>
            <w:gridSpan w:val="3"/>
          </w:tcPr>
          <w:p>
            <w:pPr>
              <w:jc w:val="right"/>
              <w:spacing w:after="0"/>
              <w:rPr>
                <w:sz w:val="20"/>
                <w:szCs w:val="20"/>
                <w:color w:val="auto"/>
              </w:rPr>
            </w:pPr>
            <w:r>
              <w:rPr>
                <w:rFonts w:ascii="Arial" w:cs="Arial" w:eastAsia="Arial" w:hAnsi="Arial"/>
                <w:sz w:val="20"/>
                <w:szCs w:val="20"/>
                <w:color w:val="0000EE"/>
              </w:rPr>
              <w:t>9</w:t>
            </w:r>
          </w:p>
        </w:tc>
      </w:tr>
      <w:tr>
        <w:trPr>
          <w:trHeight w:val="20"/>
        </w:trPr>
        <w:tc>
          <w:tcPr>
            <w:tcW w:w="1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70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304"/>
        </w:trPr>
        <w:tc>
          <w:tcPr>
            <w:tcW w:w="1160" w:type="dxa"/>
            <w:vAlign w:val="bottom"/>
          </w:tcPr>
          <w:p>
            <w:pPr>
              <w:spacing w:after="0"/>
              <w:rPr>
                <w:sz w:val="20"/>
                <w:szCs w:val="20"/>
                <w:color w:val="auto"/>
              </w:rPr>
            </w:pPr>
            <w:r>
              <w:rPr>
                <w:rFonts w:ascii="Arial" w:cs="Arial" w:eastAsia="Arial" w:hAnsi="Arial"/>
                <w:sz w:val="20"/>
                <w:szCs w:val="20"/>
                <w:color w:val="0000EE"/>
                <w:w w:val="95"/>
              </w:rPr>
              <w:t>Section 9.01.</w:t>
            </w:r>
          </w:p>
        </w:tc>
        <w:tc>
          <w:tcPr>
            <w:tcW w:w="100" w:type="dxa"/>
            <w:vAlign w:val="bottom"/>
          </w:tcPr>
          <w:p>
            <w:pPr>
              <w:spacing w:after="0"/>
              <w:rPr>
                <w:sz w:val="24"/>
                <w:szCs w:val="24"/>
                <w:color w:val="auto"/>
              </w:rPr>
            </w:pPr>
          </w:p>
        </w:tc>
        <w:tc>
          <w:tcPr>
            <w:tcW w:w="7420" w:type="dxa"/>
            <w:vAlign w:val="bottom"/>
            <w:gridSpan w:val="18"/>
          </w:tcPr>
          <w:p>
            <w:pPr>
              <w:ind w:left="680"/>
              <w:spacing w:after="0"/>
              <w:rPr>
                <w:sz w:val="20"/>
                <w:szCs w:val="20"/>
                <w:color w:val="auto"/>
              </w:rPr>
            </w:pPr>
            <w:r>
              <w:rPr>
                <w:rFonts w:ascii="Arial" w:cs="Arial" w:eastAsia="Arial" w:hAnsi="Arial"/>
                <w:sz w:val="20"/>
                <w:szCs w:val="20"/>
                <w:color w:val="0000EE"/>
              </w:rPr>
              <w:t>Determination.</w:t>
            </w:r>
          </w:p>
        </w:tc>
        <w:tc>
          <w:tcPr>
            <w:tcW w:w="220" w:type="dxa"/>
            <w:vAlign w:val="bottom"/>
            <w:gridSpan w:val="3"/>
          </w:tcPr>
          <w:p>
            <w:pPr>
              <w:jc w:val="right"/>
              <w:spacing w:after="0"/>
              <w:rPr>
                <w:sz w:val="20"/>
                <w:szCs w:val="20"/>
                <w:color w:val="auto"/>
              </w:rPr>
            </w:pPr>
            <w:r>
              <w:rPr>
                <w:rFonts w:ascii="Arial" w:cs="Arial" w:eastAsia="Arial" w:hAnsi="Arial"/>
                <w:sz w:val="20"/>
                <w:szCs w:val="20"/>
                <w:color w:val="0000EE"/>
              </w:rPr>
              <w:t>9</w:t>
            </w:r>
          </w:p>
        </w:tc>
      </w:tr>
      <w:tr>
        <w:trPr>
          <w:trHeight w:val="20"/>
        </w:trPr>
        <w:tc>
          <w:tcPr>
            <w:tcW w:w="11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right w:val="single" w:sz="8" w:color="0000EE"/>
            </w:tcBorders>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453"/>
        </w:trPr>
        <w:tc>
          <w:tcPr>
            <w:tcW w:w="3400" w:type="dxa"/>
            <w:vAlign w:val="bottom"/>
            <w:tcBorders>
              <w:bottom w:val="single" w:sz="8" w:color="0000EE"/>
            </w:tcBorders>
            <w:gridSpan w:val="12"/>
          </w:tcPr>
          <w:p>
            <w:pPr>
              <w:spacing w:after="0"/>
              <w:rPr>
                <w:sz w:val="20"/>
                <w:szCs w:val="20"/>
                <w:color w:val="auto"/>
              </w:rPr>
            </w:pPr>
            <w:r>
              <w:rPr>
                <w:rFonts w:ascii="Arial" w:cs="Arial" w:eastAsia="Arial" w:hAnsi="Arial"/>
                <w:sz w:val="20"/>
                <w:szCs w:val="20"/>
                <w:color w:val="0000EE"/>
                <w:highlight w:val="white"/>
                <w:w w:val="98"/>
              </w:rPr>
              <w:t>ARTICLE 10 GENERAL PROVISIONS</w:t>
            </w:r>
          </w:p>
        </w:tc>
        <w:tc>
          <w:tcPr>
            <w:tcW w:w="5280" w:type="dxa"/>
            <w:vAlign w:val="bottom"/>
            <w:gridSpan w:val="8"/>
          </w:tcPr>
          <w:p>
            <w:pPr>
              <w:spacing w:after="0"/>
              <w:rPr>
                <w:sz w:val="24"/>
                <w:szCs w:val="24"/>
                <w:color w:val="auto"/>
              </w:rPr>
            </w:pPr>
          </w:p>
        </w:tc>
        <w:tc>
          <w:tcPr>
            <w:tcW w:w="100" w:type="dxa"/>
            <w:vAlign w:val="bottom"/>
            <w:gridSpan w:val="2"/>
          </w:tcPr>
          <w:p>
            <w:pPr>
              <w:spacing w:after="0"/>
              <w:rPr>
                <w:sz w:val="24"/>
                <w:szCs w:val="24"/>
                <w:color w:val="auto"/>
              </w:rPr>
            </w:pPr>
          </w:p>
        </w:tc>
        <w:tc>
          <w:tcPr>
            <w:tcW w:w="120" w:type="dxa"/>
            <w:vAlign w:val="bottom"/>
            <w:tcBorders>
              <w:bottom w:val="single" w:sz="8" w:color="0000EE"/>
            </w:tcBorders>
          </w:tcPr>
          <w:p>
            <w:pPr>
              <w:jc w:val="right"/>
              <w:spacing w:after="0"/>
              <w:rPr>
                <w:sz w:val="20"/>
                <w:szCs w:val="20"/>
                <w:color w:val="auto"/>
              </w:rPr>
            </w:pPr>
            <w:r>
              <w:rPr>
                <w:rFonts w:ascii="Arial" w:cs="Arial" w:eastAsia="Arial" w:hAnsi="Arial"/>
                <w:sz w:val="20"/>
                <w:szCs w:val="20"/>
                <w:color w:val="0000EE"/>
                <w:w w:val="89"/>
              </w:rPr>
              <w:t>9</w:t>
            </w:r>
          </w:p>
        </w:tc>
      </w:tr>
      <w:tr>
        <w:trPr>
          <w:trHeight w:val="304"/>
        </w:trPr>
        <w:tc>
          <w:tcPr>
            <w:tcW w:w="1260" w:type="dxa"/>
            <w:vAlign w:val="bottom"/>
            <w:gridSpan w:val="2"/>
          </w:tcPr>
          <w:p>
            <w:pPr>
              <w:spacing w:after="0"/>
              <w:rPr>
                <w:sz w:val="20"/>
                <w:szCs w:val="20"/>
                <w:color w:val="auto"/>
              </w:rPr>
            </w:pPr>
            <w:r>
              <w:rPr>
                <w:rFonts w:ascii="Arial" w:cs="Arial" w:eastAsia="Arial" w:hAnsi="Arial"/>
                <w:sz w:val="20"/>
                <w:szCs w:val="20"/>
                <w:color w:val="0000EE"/>
                <w:w w:val="96"/>
              </w:rPr>
              <w:t>Section 10.01.</w:t>
            </w:r>
          </w:p>
        </w:tc>
        <w:tc>
          <w:tcPr>
            <w:tcW w:w="700" w:type="dxa"/>
            <w:vAlign w:val="bottom"/>
          </w:tcPr>
          <w:p>
            <w:pPr>
              <w:spacing w:after="0"/>
              <w:rPr>
                <w:sz w:val="24"/>
                <w:szCs w:val="24"/>
                <w:color w:val="auto"/>
              </w:rPr>
            </w:pPr>
          </w:p>
        </w:tc>
        <w:tc>
          <w:tcPr>
            <w:tcW w:w="6720" w:type="dxa"/>
            <w:vAlign w:val="bottom"/>
            <w:gridSpan w:val="17"/>
          </w:tcPr>
          <w:p>
            <w:pPr>
              <w:spacing w:after="0"/>
              <w:rPr>
                <w:sz w:val="20"/>
                <w:szCs w:val="20"/>
                <w:color w:val="auto"/>
              </w:rPr>
            </w:pPr>
            <w:r>
              <w:rPr>
                <w:rFonts w:ascii="Arial" w:cs="Arial" w:eastAsia="Arial" w:hAnsi="Arial"/>
                <w:sz w:val="20"/>
                <w:szCs w:val="20"/>
                <w:color w:val="0000EE"/>
              </w:rPr>
              <w:t>Signatory Power.</w:t>
            </w:r>
          </w:p>
        </w:tc>
        <w:tc>
          <w:tcPr>
            <w:tcW w:w="220" w:type="dxa"/>
            <w:vAlign w:val="bottom"/>
            <w:gridSpan w:val="3"/>
          </w:tcPr>
          <w:p>
            <w:pPr>
              <w:jc w:val="right"/>
              <w:spacing w:after="0"/>
              <w:rPr>
                <w:sz w:val="20"/>
                <w:szCs w:val="20"/>
                <w:color w:val="auto"/>
              </w:rPr>
            </w:pPr>
            <w:r>
              <w:rPr>
                <w:rFonts w:ascii="Arial" w:cs="Arial" w:eastAsia="Arial" w:hAnsi="Arial"/>
                <w:sz w:val="20"/>
                <w:szCs w:val="20"/>
                <w:color w:val="0000EE"/>
              </w:rPr>
              <w:t>9</w:t>
            </w:r>
          </w:p>
        </w:tc>
      </w:tr>
      <w:tr>
        <w:trPr>
          <w:trHeight w:val="20"/>
        </w:trPr>
        <w:tc>
          <w:tcPr>
            <w:tcW w:w="1260" w:type="dxa"/>
            <w:vAlign w:val="bottom"/>
            <w:gridSpan w:val="2"/>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453"/>
        </w:trPr>
        <w:tc>
          <w:tcPr>
            <w:tcW w:w="1260" w:type="dxa"/>
            <w:vAlign w:val="bottom"/>
            <w:tcBorders>
              <w:bottom w:val="single" w:sz="8" w:color="0000EE"/>
            </w:tcBorders>
            <w:gridSpan w:val="2"/>
          </w:tcPr>
          <w:p>
            <w:pPr>
              <w:spacing w:after="0"/>
              <w:rPr>
                <w:sz w:val="20"/>
                <w:szCs w:val="20"/>
                <w:color w:val="auto"/>
              </w:rPr>
            </w:pPr>
            <w:r>
              <w:rPr>
                <w:rFonts w:ascii="Arial" w:cs="Arial" w:eastAsia="Arial" w:hAnsi="Arial"/>
                <w:sz w:val="20"/>
                <w:szCs w:val="20"/>
                <w:color w:val="0000EE"/>
                <w:w w:val="96"/>
              </w:rPr>
              <w:t>Section 10.02.</w:t>
            </w:r>
          </w:p>
        </w:tc>
        <w:tc>
          <w:tcPr>
            <w:tcW w:w="700" w:type="dxa"/>
            <w:vAlign w:val="bottom"/>
          </w:tcPr>
          <w:p>
            <w:pPr>
              <w:spacing w:after="0"/>
              <w:rPr>
                <w:sz w:val="24"/>
                <w:szCs w:val="24"/>
                <w:color w:val="auto"/>
              </w:rPr>
            </w:pPr>
          </w:p>
        </w:tc>
        <w:tc>
          <w:tcPr>
            <w:tcW w:w="5240" w:type="dxa"/>
            <w:vAlign w:val="bottom"/>
            <w:tcBorders>
              <w:bottom w:val="single" w:sz="8" w:color="0000EE"/>
            </w:tcBorders>
            <w:gridSpan w:val="15"/>
          </w:tcPr>
          <w:p>
            <w:pPr>
              <w:spacing w:after="0"/>
              <w:rPr>
                <w:sz w:val="20"/>
                <w:szCs w:val="20"/>
                <w:color w:val="auto"/>
              </w:rPr>
            </w:pPr>
            <w:r>
              <w:rPr>
                <w:rFonts w:ascii="Arial" w:cs="Arial" w:eastAsia="Arial" w:hAnsi="Arial"/>
                <w:sz w:val="20"/>
                <w:szCs w:val="20"/>
                <w:color w:val="0000EE"/>
                <w:w w:val="98"/>
              </w:rPr>
              <w:t>Conduct of the Board and the Executive Management Team</w:t>
            </w:r>
          </w:p>
        </w:tc>
        <w:tc>
          <w:tcPr>
            <w:tcW w:w="1480" w:type="dxa"/>
            <w:vAlign w:val="bottom"/>
            <w:gridSpan w:val="2"/>
          </w:tcPr>
          <w:p>
            <w:pPr>
              <w:spacing w:after="0"/>
              <w:rPr>
                <w:sz w:val="24"/>
                <w:szCs w:val="24"/>
                <w:color w:val="auto"/>
              </w:rPr>
            </w:pPr>
          </w:p>
        </w:tc>
        <w:tc>
          <w:tcPr>
            <w:tcW w:w="100" w:type="dxa"/>
            <w:vAlign w:val="bottom"/>
            <w:gridSpan w:val="2"/>
          </w:tcPr>
          <w:p>
            <w:pPr>
              <w:spacing w:after="0"/>
              <w:rPr>
                <w:sz w:val="24"/>
                <w:szCs w:val="24"/>
                <w:color w:val="auto"/>
              </w:rPr>
            </w:pPr>
          </w:p>
        </w:tc>
        <w:tc>
          <w:tcPr>
            <w:tcW w:w="120" w:type="dxa"/>
            <w:vAlign w:val="bottom"/>
            <w:tcBorders>
              <w:bottom w:val="single" w:sz="8" w:color="0000EE"/>
            </w:tcBorders>
          </w:tcPr>
          <w:p>
            <w:pPr>
              <w:jc w:val="right"/>
              <w:spacing w:after="0"/>
              <w:rPr>
                <w:sz w:val="20"/>
                <w:szCs w:val="20"/>
                <w:color w:val="auto"/>
              </w:rPr>
            </w:pPr>
            <w:r>
              <w:rPr>
                <w:rFonts w:ascii="Arial" w:cs="Arial" w:eastAsia="Arial" w:hAnsi="Arial"/>
                <w:sz w:val="20"/>
                <w:szCs w:val="20"/>
                <w:color w:val="0000EE"/>
                <w:w w:val="89"/>
              </w:rPr>
              <w:t>9</w:t>
            </w:r>
          </w:p>
        </w:tc>
      </w:tr>
      <w:tr>
        <w:trPr>
          <w:trHeight w:val="439"/>
        </w:trPr>
        <w:tc>
          <w:tcPr>
            <w:tcW w:w="1260" w:type="dxa"/>
            <w:vAlign w:val="bottom"/>
            <w:gridSpan w:val="2"/>
          </w:tcPr>
          <w:p>
            <w:pPr>
              <w:spacing w:after="0"/>
              <w:rPr>
                <w:sz w:val="20"/>
                <w:szCs w:val="20"/>
                <w:color w:val="auto"/>
              </w:rPr>
            </w:pPr>
            <w:r>
              <w:rPr>
                <w:rFonts w:ascii="Arial" w:cs="Arial" w:eastAsia="Arial" w:hAnsi="Arial"/>
                <w:sz w:val="20"/>
                <w:szCs w:val="20"/>
                <w:color w:val="0000EE"/>
                <w:w w:val="96"/>
              </w:rPr>
              <w:t>Section 10.03.</w:t>
            </w:r>
          </w:p>
        </w:tc>
        <w:tc>
          <w:tcPr>
            <w:tcW w:w="70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Arial" w:cs="Arial" w:eastAsia="Arial" w:hAnsi="Arial"/>
                <w:sz w:val="20"/>
                <w:szCs w:val="20"/>
                <w:color w:val="0000EE"/>
                <w:w w:val="96"/>
              </w:rPr>
              <w:t>Insurance.</w:t>
            </w:r>
          </w:p>
        </w:tc>
        <w:tc>
          <w:tcPr>
            <w:tcW w:w="5800" w:type="dxa"/>
            <w:vAlign w:val="bottom"/>
            <w:gridSpan w:val="12"/>
          </w:tcPr>
          <w:p>
            <w:pPr>
              <w:spacing w:after="0"/>
              <w:rPr>
                <w:sz w:val="24"/>
                <w:szCs w:val="24"/>
                <w:color w:val="auto"/>
              </w:rPr>
            </w:pPr>
          </w:p>
        </w:tc>
        <w:tc>
          <w:tcPr>
            <w:tcW w:w="220" w:type="dxa"/>
            <w:vAlign w:val="bottom"/>
            <w:gridSpan w:val="3"/>
          </w:tcPr>
          <w:p>
            <w:pPr>
              <w:jc w:val="right"/>
              <w:spacing w:after="0"/>
              <w:rPr>
                <w:sz w:val="20"/>
                <w:szCs w:val="20"/>
                <w:color w:val="auto"/>
              </w:rPr>
            </w:pPr>
            <w:r>
              <w:rPr>
                <w:rFonts w:ascii="Arial" w:cs="Arial" w:eastAsia="Arial" w:hAnsi="Arial"/>
                <w:sz w:val="20"/>
                <w:szCs w:val="20"/>
                <w:color w:val="0000EE"/>
                <w:w w:val="89"/>
              </w:rPr>
              <w:t>11</w:t>
            </w:r>
          </w:p>
        </w:tc>
      </w:tr>
      <w:tr>
        <w:trPr>
          <w:trHeight w:val="20"/>
        </w:trPr>
        <w:tc>
          <w:tcPr>
            <w:tcW w:w="1260" w:type="dxa"/>
            <w:vAlign w:val="bottom"/>
            <w:gridSpan w:val="2"/>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4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453"/>
        </w:trPr>
        <w:tc>
          <w:tcPr>
            <w:tcW w:w="1260" w:type="dxa"/>
            <w:vAlign w:val="bottom"/>
            <w:gridSpan w:val="2"/>
          </w:tcPr>
          <w:p>
            <w:pPr>
              <w:spacing w:after="0"/>
              <w:rPr>
                <w:sz w:val="20"/>
                <w:szCs w:val="20"/>
                <w:color w:val="auto"/>
              </w:rPr>
            </w:pPr>
            <w:r>
              <w:rPr>
                <w:rFonts w:ascii="Arial" w:cs="Arial" w:eastAsia="Arial" w:hAnsi="Arial"/>
                <w:sz w:val="20"/>
                <w:szCs w:val="20"/>
                <w:color w:val="0000EE"/>
                <w:w w:val="96"/>
              </w:rPr>
              <w:t>Section 10.04.</w:t>
            </w:r>
          </w:p>
        </w:tc>
        <w:tc>
          <w:tcPr>
            <w:tcW w:w="700" w:type="dxa"/>
            <w:vAlign w:val="bottom"/>
          </w:tcPr>
          <w:p>
            <w:pPr>
              <w:spacing w:after="0"/>
              <w:rPr>
                <w:sz w:val="24"/>
                <w:szCs w:val="24"/>
                <w:color w:val="auto"/>
              </w:rPr>
            </w:pPr>
          </w:p>
        </w:tc>
        <w:tc>
          <w:tcPr>
            <w:tcW w:w="1280" w:type="dxa"/>
            <w:vAlign w:val="bottom"/>
            <w:gridSpan w:val="8"/>
          </w:tcPr>
          <w:p>
            <w:pPr>
              <w:spacing w:after="0"/>
              <w:rPr>
                <w:sz w:val="20"/>
                <w:szCs w:val="20"/>
                <w:color w:val="auto"/>
              </w:rPr>
            </w:pPr>
            <w:r>
              <w:rPr>
                <w:rFonts w:ascii="Arial" w:cs="Arial" w:eastAsia="Arial" w:hAnsi="Arial"/>
                <w:sz w:val="20"/>
                <w:szCs w:val="20"/>
                <w:color w:val="0000EE"/>
                <w:w w:val="96"/>
              </w:rPr>
              <w:t>Confidentiality.</w:t>
            </w:r>
          </w:p>
        </w:tc>
        <w:tc>
          <w:tcPr>
            <w:tcW w:w="5440" w:type="dxa"/>
            <w:vAlign w:val="bottom"/>
            <w:gridSpan w:val="9"/>
          </w:tcPr>
          <w:p>
            <w:pPr>
              <w:spacing w:after="0"/>
              <w:rPr>
                <w:sz w:val="24"/>
                <w:szCs w:val="24"/>
                <w:color w:val="auto"/>
              </w:rPr>
            </w:pPr>
          </w:p>
        </w:tc>
        <w:tc>
          <w:tcPr>
            <w:tcW w:w="220" w:type="dxa"/>
            <w:vAlign w:val="bottom"/>
            <w:gridSpan w:val="3"/>
          </w:tcPr>
          <w:p>
            <w:pPr>
              <w:jc w:val="right"/>
              <w:spacing w:after="0"/>
              <w:rPr>
                <w:sz w:val="20"/>
                <w:szCs w:val="20"/>
                <w:color w:val="auto"/>
              </w:rPr>
            </w:pPr>
            <w:r>
              <w:rPr>
                <w:rFonts w:ascii="Arial" w:cs="Arial" w:eastAsia="Arial" w:hAnsi="Arial"/>
                <w:sz w:val="20"/>
                <w:szCs w:val="20"/>
                <w:color w:val="0000EE"/>
                <w:w w:val="89"/>
              </w:rPr>
              <w:t>11</w:t>
            </w:r>
          </w:p>
        </w:tc>
      </w:tr>
      <w:tr>
        <w:trPr>
          <w:trHeight w:val="20"/>
        </w:trPr>
        <w:tc>
          <w:tcPr>
            <w:tcW w:w="1260" w:type="dxa"/>
            <w:vAlign w:val="bottom"/>
            <w:gridSpan w:val="2"/>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4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453"/>
        </w:trPr>
        <w:tc>
          <w:tcPr>
            <w:tcW w:w="1260" w:type="dxa"/>
            <w:vAlign w:val="bottom"/>
            <w:gridSpan w:val="2"/>
          </w:tcPr>
          <w:p>
            <w:pPr>
              <w:spacing w:after="0"/>
              <w:rPr>
                <w:sz w:val="20"/>
                <w:szCs w:val="20"/>
                <w:color w:val="auto"/>
              </w:rPr>
            </w:pPr>
            <w:r>
              <w:rPr>
                <w:rFonts w:ascii="Arial" w:cs="Arial" w:eastAsia="Arial" w:hAnsi="Arial"/>
                <w:sz w:val="20"/>
                <w:szCs w:val="20"/>
                <w:color w:val="0000EE"/>
                <w:w w:val="96"/>
              </w:rPr>
              <w:t>Section 10.05.</w:t>
            </w:r>
          </w:p>
        </w:tc>
        <w:tc>
          <w:tcPr>
            <w:tcW w:w="700" w:type="dxa"/>
            <w:vAlign w:val="bottom"/>
          </w:tcPr>
          <w:p>
            <w:pPr>
              <w:spacing w:after="0"/>
              <w:rPr>
                <w:sz w:val="24"/>
                <w:szCs w:val="24"/>
                <w:color w:val="auto"/>
              </w:rPr>
            </w:pPr>
          </w:p>
        </w:tc>
        <w:tc>
          <w:tcPr>
            <w:tcW w:w="1280" w:type="dxa"/>
            <w:vAlign w:val="bottom"/>
            <w:gridSpan w:val="8"/>
          </w:tcPr>
          <w:p>
            <w:pPr>
              <w:spacing w:after="0"/>
              <w:rPr>
                <w:sz w:val="20"/>
                <w:szCs w:val="20"/>
                <w:color w:val="auto"/>
              </w:rPr>
            </w:pPr>
            <w:r>
              <w:rPr>
                <w:rFonts w:ascii="Arial" w:cs="Arial" w:eastAsia="Arial" w:hAnsi="Arial"/>
                <w:sz w:val="20"/>
                <w:szCs w:val="20"/>
                <w:color w:val="0000EE"/>
              </w:rPr>
              <w:t>Publicity.</w:t>
            </w:r>
          </w:p>
        </w:tc>
        <w:tc>
          <w:tcPr>
            <w:tcW w:w="5440" w:type="dxa"/>
            <w:vAlign w:val="bottom"/>
            <w:gridSpan w:val="9"/>
          </w:tcPr>
          <w:p>
            <w:pPr>
              <w:spacing w:after="0"/>
              <w:rPr>
                <w:sz w:val="24"/>
                <w:szCs w:val="24"/>
                <w:color w:val="auto"/>
              </w:rPr>
            </w:pPr>
          </w:p>
        </w:tc>
        <w:tc>
          <w:tcPr>
            <w:tcW w:w="220" w:type="dxa"/>
            <w:vAlign w:val="bottom"/>
            <w:gridSpan w:val="3"/>
          </w:tcPr>
          <w:p>
            <w:pPr>
              <w:jc w:val="right"/>
              <w:spacing w:after="0"/>
              <w:rPr>
                <w:sz w:val="20"/>
                <w:szCs w:val="20"/>
                <w:color w:val="auto"/>
              </w:rPr>
            </w:pPr>
            <w:r>
              <w:rPr>
                <w:rFonts w:ascii="Arial" w:cs="Arial" w:eastAsia="Arial" w:hAnsi="Arial"/>
                <w:sz w:val="20"/>
                <w:szCs w:val="20"/>
                <w:color w:val="0000EE"/>
                <w:w w:val="89"/>
              </w:rPr>
              <w:t>11</w:t>
            </w:r>
          </w:p>
        </w:tc>
      </w:tr>
      <w:tr>
        <w:trPr>
          <w:trHeight w:val="20"/>
        </w:trPr>
        <w:tc>
          <w:tcPr>
            <w:tcW w:w="1260" w:type="dxa"/>
            <w:vAlign w:val="bottom"/>
            <w:gridSpan w:val="2"/>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4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4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439"/>
        </w:trPr>
        <w:tc>
          <w:tcPr>
            <w:tcW w:w="1260" w:type="dxa"/>
            <w:vAlign w:val="bottom"/>
            <w:gridSpan w:val="2"/>
          </w:tcPr>
          <w:p>
            <w:pPr>
              <w:spacing w:after="0"/>
              <w:rPr>
                <w:sz w:val="20"/>
                <w:szCs w:val="20"/>
                <w:color w:val="auto"/>
              </w:rPr>
            </w:pPr>
            <w:r>
              <w:rPr>
                <w:rFonts w:ascii="Arial" w:cs="Arial" w:eastAsia="Arial" w:hAnsi="Arial"/>
                <w:sz w:val="20"/>
                <w:szCs w:val="20"/>
                <w:color w:val="0000EE"/>
                <w:w w:val="96"/>
              </w:rPr>
              <w:t>Section 10.06.</w:t>
            </w:r>
          </w:p>
        </w:tc>
        <w:tc>
          <w:tcPr>
            <w:tcW w:w="700" w:type="dxa"/>
            <w:vAlign w:val="bottom"/>
          </w:tcPr>
          <w:p>
            <w:pPr>
              <w:spacing w:after="0"/>
              <w:rPr>
                <w:sz w:val="24"/>
                <w:szCs w:val="24"/>
                <w:color w:val="auto"/>
              </w:rPr>
            </w:pPr>
          </w:p>
        </w:tc>
        <w:tc>
          <w:tcPr>
            <w:tcW w:w="3140" w:type="dxa"/>
            <w:vAlign w:val="bottom"/>
            <w:gridSpan w:val="13"/>
          </w:tcPr>
          <w:p>
            <w:pPr>
              <w:spacing w:after="0"/>
              <w:rPr>
                <w:sz w:val="20"/>
                <w:szCs w:val="20"/>
                <w:color w:val="auto"/>
              </w:rPr>
            </w:pPr>
            <w:r>
              <w:rPr>
                <w:rFonts w:ascii="Arial" w:cs="Arial" w:eastAsia="Arial" w:hAnsi="Arial"/>
                <w:sz w:val="20"/>
                <w:szCs w:val="20"/>
                <w:color w:val="0000EE"/>
                <w:w w:val="98"/>
              </w:rPr>
              <w:t>Certain Arrangements; Compliance.</w:t>
            </w:r>
          </w:p>
        </w:tc>
        <w:tc>
          <w:tcPr>
            <w:tcW w:w="3580" w:type="dxa"/>
            <w:vAlign w:val="bottom"/>
            <w:gridSpan w:val="4"/>
          </w:tcPr>
          <w:p>
            <w:pPr>
              <w:spacing w:after="0"/>
              <w:rPr>
                <w:sz w:val="24"/>
                <w:szCs w:val="24"/>
                <w:color w:val="auto"/>
              </w:rPr>
            </w:pPr>
          </w:p>
        </w:tc>
        <w:tc>
          <w:tcPr>
            <w:tcW w:w="220" w:type="dxa"/>
            <w:vAlign w:val="bottom"/>
            <w:gridSpan w:val="3"/>
          </w:tcPr>
          <w:p>
            <w:pPr>
              <w:jc w:val="right"/>
              <w:spacing w:after="0"/>
              <w:rPr>
                <w:sz w:val="20"/>
                <w:szCs w:val="20"/>
                <w:color w:val="auto"/>
              </w:rPr>
            </w:pPr>
            <w:r>
              <w:rPr>
                <w:rFonts w:ascii="Arial" w:cs="Arial" w:eastAsia="Arial" w:hAnsi="Arial"/>
                <w:sz w:val="20"/>
                <w:szCs w:val="20"/>
                <w:color w:val="0000EE"/>
                <w:w w:val="89"/>
              </w:rPr>
              <w:t>11</w:t>
            </w:r>
          </w:p>
        </w:tc>
      </w:tr>
      <w:tr>
        <w:trPr>
          <w:trHeight w:val="20"/>
        </w:trPr>
        <w:tc>
          <w:tcPr>
            <w:tcW w:w="1260" w:type="dxa"/>
            <w:vAlign w:val="bottom"/>
            <w:gridSpan w:val="2"/>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gridSpan w:val="6"/>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40" w:type="dxa"/>
            <w:vAlign w:val="bottom"/>
            <w:tcBorders>
              <w:left w:val="single" w:sz="8" w:color="0000EE"/>
            </w:tcBorders>
            <w:gridSpan w:val="5"/>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4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453"/>
        </w:trPr>
        <w:tc>
          <w:tcPr>
            <w:tcW w:w="3000" w:type="dxa"/>
            <w:vAlign w:val="bottom"/>
            <w:tcBorders>
              <w:bottom w:val="single" w:sz="8" w:color="0000EE"/>
            </w:tcBorders>
            <w:gridSpan w:val="9"/>
          </w:tcPr>
          <w:p>
            <w:pPr>
              <w:spacing w:after="0"/>
              <w:rPr>
                <w:sz w:val="20"/>
                <w:szCs w:val="20"/>
                <w:color w:val="auto"/>
              </w:rPr>
            </w:pPr>
            <w:r>
              <w:rPr>
                <w:rFonts w:ascii="Arial" w:cs="Arial" w:eastAsia="Arial" w:hAnsi="Arial"/>
                <w:sz w:val="20"/>
                <w:szCs w:val="20"/>
                <w:color w:val="0000EE"/>
                <w:highlight w:val="white"/>
                <w:w w:val="97"/>
              </w:rPr>
              <w:t>ARTICLE 11 FINAL PROVISIONS</w:t>
            </w:r>
          </w:p>
        </w:tc>
        <w:tc>
          <w:tcPr>
            <w:tcW w:w="5680" w:type="dxa"/>
            <w:vAlign w:val="bottom"/>
            <w:gridSpan w:val="11"/>
          </w:tcPr>
          <w:p>
            <w:pPr>
              <w:spacing w:after="0"/>
              <w:rPr>
                <w:sz w:val="24"/>
                <w:szCs w:val="24"/>
                <w:color w:val="auto"/>
              </w:rPr>
            </w:pPr>
          </w:p>
        </w:tc>
        <w:tc>
          <w:tcPr>
            <w:tcW w:w="220" w:type="dxa"/>
            <w:vAlign w:val="bottom"/>
            <w:tcBorders>
              <w:bottom w:val="single" w:sz="8" w:color="0000EE"/>
            </w:tcBorders>
            <w:gridSpan w:val="3"/>
          </w:tcPr>
          <w:p>
            <w:pPr>
              <w:jc w:val="right"/>
              <w:spacing w:after="0"/>
              <w:rPr>
                <w:sz w:val="20"/>
                <w:szCs w:val="20"/>
                <w:color w:val="auto"/>
              </w:rPr>
            </w:pPr>
            <w:r>
              <w:rPr>
                <w:rFonts w:ascii="Arial" w:cs="Arial" w:eastAsia="Arial" w:hAnsi="Arial"/>
                <w:sz w:val="20"/>
                <w:szCs w:val="20"/>
                <w:color w:val="0000EE"/>
                <w:highlight w:val="white"/>
                <w:w w:val="89"/>
              </w:rPr>
              <w:t>12</w:t>
            </w:r>
          </w:p>
        </w:tc>
      </w:tr>
      <w:tr>
        <w:trPr>
          <w:trHeight w:val="304"/>
        </w:trPr>
        <w:tc>
          <w:tcPr>
            <w:tcW w:w="1260" w:type="dxa"/>
            <w:vAlign w:val="bottom"/>
            <w:gridSpan w:val="2"/>
          </w:tcPr>
          <w:p>
            <w:pPr>
              <w:spacing w:after="0"/>
              <w:rPr>
                <w:sz w:val="20"/>
                <w:szCs w:val="20"/>
                <w:color w:val="auto"/>
              </w:rPr>
            </w:pPr>
            <w:r>
              <w:rPr>
                <w:rFonts w:ascii="Arial" w:cs="Arial" w:eastAsia="Arial" w:hAnsi="Arial"/>
                <w:sz w:val="20"/>
                <w:szCs w:val="20"/>
                <w:color w:val="0000EE"/>
                <w:w w:val="96"/>
              </w:rPr>
              <w:t>Section 11.01.</w:t>
            </w:r>
          </w:p>
        </w:tc>
        <w:tc>
          <w:tcPr>
            <w:tcW w:w="700" w:type="dxa"/>
            <w:vAlign w:val="bottom"/>
          </w:tcPr>
          <w:p>
            <w:pPr>
              <w:spacing w:after="0"/>
              <w:rPr>
                <w:sz w:val="24"/>
                <w:szCs w:val="24"/>
                <w:color w:val="auto"/>
              </w:rPr>
            </w:pPr>
          </w:p>
        </w:tc>
        <w:tc>
          <w:tcPr>
            <w:tcW w:w="6720" w:type="dxa"/>
            <w:vAlign w:val="bottom"/>
            <w:gridSpan w:val="17"/>
          </w:tcPr>
          <w:p>
            <w:pPr>
              <w:spacing w:after="0"/>
              <w:rPr>
                <w:sz w:val="20"/>
                <w:szCs w:val="20"/>
                <w:color w:val="auto"/>
              </w:rPr>
            </w:pPr>
            <w:r>
              <w:rPr>
                <w:rFonts w:ascii="Arial" w:cs="Arial" w:eastAsia="Arial" w:hAnsi="Arial"/>
                <w:sz w:val="20"/>
                <w:szCs w:val="20"/>
                <w:color w:val="0000EE"/>
              </w:rPr>
              <w:t>Effectiveness.</w:t>
            </w:r>
          </w:p>
        </w:tc>
        <w:tc>
          <w:tcPr>
            <w:tcW w:w="220" w:type="dxa"/>
            <w:vAlign w:val="bottom"/>
            <w:gridSpan w:val="3"/>
          </w:tcPr>
          <w:p>
            <w:pPr>
              <w:jc w:val="right"/>
              <w:spacing w:after="0"/>
              <w:rPr>
                <w:sz w:val="20"/>
                <w:szCs w:val="20"/>
                <w:color w:val="auto"/>
              </w:rPr>
            </w:pPr>
            <w:r>
              <w:rPr>
                <w:rFonts w:ascii="Arial" w:cs="Arial" w:eastAsia="Arial" w:hAnsi="Arial"/>
                <w:sz w:val="20"/>
                <w:szCs w:val="20"/>
                <w:color w:val="0000EE"/>
                <w:highlight w:val="white"/>
                <w:w w:val="89"/>
              </w:rPr>
              <w:t>12</w:t>
            </w:r>
          </w:p>
        </w:tc>
      </w:tr>
      <w:tr>
        <w:trPr>
          <w:trHeight w:val="20"/>
        </w:trPr>
        <w:tc>
          <w:tcPr>
            <w:tcW w:w="1260" w:type="dxa"/>
            <w:vAlign w:val="bottom"/>
            <w:gridSpan w:val="2"/>
            <w:shd w:val="clear" w:color="auto" w:fill="0000EE"/>
          </w:tcPr>
          <w:p>
            <w:pPr>
              <w:spacing w:after="0" w:line="20" w:lineRule="exact"/>
              <w:rPr>
                <w:sz w:val="1"/>
                <w:szCs w:val="1"/>
                <w:color w:val="auto"/>
              </w:rPr>
            </w:pPr>
          </w:p>
        </w:tc>
        <w:tc>
          <w:tcPr>
            <w:tcW w:w="700" w:type="dxa"/>
            <w:vAlign w:val="bottom"/>
            <w:tcBorders>
              <w:right w:val="single" w:sz="8" w:color="0000EE"/>
            </w:tcBorders>
          </w:tcPr>
          <w:p>
            <w:pPr>
              <w:spacing w:after="0" w:line="20" w:lineRule="exact"/>
              <w:rPr>
                <w:sz w:val="1"/>
                <w:szCs w:val="1"/>
                <w:color w:val="auto"/>
              </w:rPr>
            </w:pPr>
          </w:p>
        </w:tc>
        <w:tc>
          <w:tcPr>
            <w:tcW w:w="1200" w:type="dxa"/>
            <w:vAlign w:val="bottom"/>
            <w:gridSpan w:val="7"/>
            <w:shd w:val="clear" w:color="auto" w:fill="0000EE"/>
          </w:tcPr>
          <w:p>
            <w:pPr>
              <w:spacing w:after="0" w:line="20" w:lineRule="exact"/>
              <w:rPr>
                <w:sz w:val="1"/>
                <w:szCs w:val="1"/>
                <w:color w:val="auto"/>
              </w:rPr>
            </w:pPr>
          </w:p>
        </w:tc>
        <w:tc>
          <w:tcPr>
            <w:tcW w:w="1840" w:type="dxa"/>
            <w:vAlign w:val="bottom"/>
            <w:gridSpan w:val="5"/>
          </w:tcPr>
          <w:p>
            <w:pPr>
              <w:spacing w:after="0" w:line="20" w:lineRule="exact"/>
              <w:rPr>
                <w:sz w:val="1"/>
                <w:szCs w:val="1"/>
                <w:color w:val="auto"/>
              </w:rPr>
            </w:pPr>
          </w:p>
        </w:tc>
        <w:tc>
          <w:tcPr>
            <w:tcW w:w="2540" w:type="dxa"/>
            <w:vAlign w:val="bottom"/>
            <w:gridSpan w:val="4"/>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r>
      <w:tr>
        <w:trPr>
          <w:trHeight w:val="453"/>
        </w:trPr>
        <w:tc>
          <w:tcPr>
            <w:tcW w:w="1260" w:type="dxa"/>
            <w:vAlign w:val="bottom"/>
            <w:tcBorders>
              <w:bottom w:val="single" w:sz="8" w:color="0000EE"/>
            </w:tcBorders>
            <w:gridSpan w:val="2"/>
          </w:tcPr>
          <w:p>
            <w:pPr>
              <w:spacing w:after="0"/>
              <w:rPr>
                <w:sz w:val="20"/>
                <w:szCs w:val="20"/>
                <w:color w:val="auto"/>
              </w:rPr>
            </w:pPr>
            <w:r>
              <w:rPr>
                <w:rFonts w:ascii="Arial" w:cs="Arial" w:eastAsia="Arial" w:hAnsi="Arial"/>
                <w:sz w:val="20"/>
                <w:szCs w:val="20"/>
                <w:color w:val="0000EE"/>
                <w:w w:val="96"/>
              </w:rPr>
              <w:t>Section 11.02.</w:t>
            </w:r>
          </w:p>
        </w:tc>
        <w:tc>
          <w:tcPr>
            <w:tcW w:w="700" w:type="dxa"/>
            <w:vAlign w:val="bottom"/>
          </w:tcPr>
          <w:p>
            <w:pPr>
              <w:spacing w:after="0"/>
              <w:rPr>
                <w:sz w:val="24"/>
                <w:szCs w:val="24"/>
                <w:color w:val="auto"/>
              </w:rPr>
            </w:pPr>
          </w:p>
        </w:tc>
        <w:tc>
          <w:tcPr>
            <w:tcW w:w="3040" w:type="dxa"/>
            <w:vAlign w:val="bottom"/>
            <w:tcBorders>
              <w:bottom w:val="single" w:sz="8" w:color="0000EE"/>
            </w:tcBorders>
            <w:gridSpan w:val="12"/>
          </w:tcPr>
          <w:p>
            <w:pPr>
              <w:spacing w:after="0"/>
              <w:rPr>
                <w:sz w:val="20"/>
                <w:szCs w:val="20"/>
                <w:color w:val="auto"/>
              </w:rPr>
            </w:pPr>
            <w:r>
              <w:rPr>
                <w:rFonts w:ascii="Arial" w:cs="Arial" w:eastAsia="Arial" w:hAnsi="Arial"/>
                <w:sz w:val="20"/>
                <w:szCs w:val="20"/>
                <w:color w:val="0000EE"/>
                <w:w w:val="97"/>
              </w:rPr>
              <w:t>Corporate Governance Guidelines.</w:t>
            </w:r>
          </w:p>
        </w:tc>
        <w:tc>
          <w:tcPr>
            <w:tcW w:w="3680" w:type="dxa"/>
            <w:vAlign w:val="bottom"/>
            <w:gridSpan w:val="5"/>
          </w:tcPr>
          <w:p>
            <w:pPr>
              <w:spacing w:after="0"/>
              <w:rPr>
                <w:sz w:val="24"/>
                <w:szCs w:val="24"/>
                <w:color w:val="auto"/>
              </w:rPr>
            </w:pPr>
          </w:p>
        </w:tc>
        <w:tc>
          <w:tcPr>
            <w:tcW w:w="220" w:type="dxa"/>
            <w:vAlign w:val="bottom"/>
            <w:tcBorders>
              <w:bottom w:val="single" w:sz="8" w:color="0000EE"/>
            </w:tcBorders>
            <w:gridSpan w:val="3"/>
          </w:tcPr>
          <w:p>
            <w:pPr>
              <w:jc w:val="right"/>
              <w:spacing w:after="0"/>
              <w:rPr>
                <w:sz w:val="20"/>
                <w:szCs w:val="20"/>
                <w:color w:val="auto"/>
              </w:rPr>
            </w:pPr>
            <w:r>
              <w:rPr>
                <w:rFonts w:ascii="Arial" w:cs="Arial" w:eastAsia="Arial" w:hAnsi="Arial"/>
                <w:sz w:val="20"/>
                <w:szCs w:val="20"/>
                <w:color w:val="0000EE"/>
                <w:highlight w:val="white"/>
                <w:w w:val="89"/>
              </w:rPr>
              <w:t>12</w:t>
            </w:r>
          </w:p>
        </w:tc>
      </w:tr>
      <w:tr>
        <w:trPr>
          <w:trHeight w:val="439"/>
        </w:trPr>
        <w:tc>
          <w:tcPr>
            <w:tcW w:w="1260" w:type="dxa"/>
            <w:vAlign w:val="bottom"/>
            <w:gridSpan w:val="2"/>
          </w:tcPr>
          <w:p>
            <w:pPr>
              <w:spacing w:after="0"/>
              <w:rPr>
                <w:sz w:val="20"/>
                <w:szCs w:val="20"/>
                <w:color w:val="auto"/>
              </w:rPr>
            </w:pPr>
            <w:r>
              <w:rPr>
                <w:rFonts w:ascii="Arial" w:cs="Arial" w:eastAsia="Arial" w:hAnsi="Arial"/>
                <w:sz w:val="20"/>
                <w:szCs w:val="20"/>
                <w:color w:val="0000EE"/>
                <w:w w:val="96"/>
              </w:rPr>
              <w:t>Section 11.03.</w:t>
            </w:r>
          </w:p>
        </w:tc>
        <w:tc>
          <w:tcPr>
            <w:tcW w:w="700" w:type="dxa"/>
            <w:vAlign w:val="bottom"/>
          </w:tcPr>
          <w:p>
            <w:pPr>
              <w:spacing w:after="0"/>
              <w:rPr>
                <w:sz w:val="24"/>
                <w:szCs w:val="24"/>
                <w:color w:val="auto"/>
              </w:rPr>
            </w:pPr>
          </w:p>
        </w:tc>
        <w:tc>
          <w:tcPr>
            <w:tcW w:w="6720" w:type="dxa"/>
            <w:vAlign w:val="bottom"/>
            <w:gridSpan w:val="17"/>
          </w:tcPr>
          <w:p>
            <w:pPr>
              <w:spacing w:after="0"/>
              <w:rPr>
                <w:sz w:val="20"/>
                <w:szCs w:val="20"/>
                <w:color w:val="auto"/>
              </w:rPr>
            </w:pPr>
            <w:r>
              <w:rPr>
                <w:rFonts w:ascii="Arial" w:cs="Arial" w:eastAsia="Arial" w:hAnsi="Arial"/>
                <w:sz w:val="20"/>
                <w:szCs w:val="20"/>
                <w:color w:val="0000EE"/>
              </w:rPr>
              <w:t>Change of or Amendments to these Organizational Regulations.</w:t>
            </w:r>
          </w:p>
        </w:tc>
        <w:tc>
          <w:tcPr>
            <w:tcW w:w="220" w:type="dxa"/>
            <w:vAlign w:val="bottom"/>
            <w:gridSpan w:val="3"/>
          </w:tcPr>
          <w:p>
            <w:pPr>
              <w:jc w:val="right"/>
              <w:spacing w:after="0"/>
              <w:rPr>
                <w:sz w:val="20"/>
                <w:szCs w:val="20"/>
                <w:color w:val="auto"/>
              </w:rPr>
            </w:pPr>
            <w:r>
              <w:rPr>
                <w:rFonts w:ascii="Arial" w:cs="Arial" w:eastAsia="Arial" w:hAnsi="Arial"/>
                <w:sz w:val="20"/>
                <w:szCs w:val="20"/>
                <w:color w:val="0000EE"/>
                <w:highlight w:val="white"/>
                <w:w w:val="89"/>
              </w:rPr>
              <w:t>12</w:t>
            </w:r>
          </w:p>
        </w:tc>
      </w:tr>
      <w:tr>
        <w:trPr>
          <w:trHeight w:val="2161"/>
        </w:trPr>
        <w:tc>
          <w:tcPr>
            <w:tcW w:w="116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80" w:type="dxa"/>
            <w:vAlign w:val="bottom"/>
            <w:tcBorders>
              <w:top w:val="single" w:sz="8" w:color="0000EE"/>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160" w:type="dxa"/>
            <w:vAlign w:val="bottom"/>
            <w:tcBorders>
              <w:top w:val="single" w:sz="8" w:color="0000EE"/>
              <w:bottom w:val="single" w:sz="8" w:color="auto"/>
            </w:tcBorders>
          </w:tcPr>
          <w:p>
            <w:pPr>
              <w:spacing w:after="0"/>
              <w:rPr>
                <w:sz w:val="24"/>
                <w:szCs w:val="24"/>
                <w:color w:val="auto"/>
              </w:rPr>
            </w:pPr>
          </w:p>
        </w:tc>
        <w:tc>
          <w:tcPr>
            <w:tcW w:w="40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1780" w:type="dxa"/>
            <w:vAlign w:val="bottom"/>
            <w:tcBorders>
              <w:top w:val="single" w:sz="8" w:color="0000EE"/>
              <w:bottom w:val="single" w:sz="8" w:color="auto"/>
            </w:tcBorders>
          </w:tcPr>
          <w:p>
            <w:pPr>
              <w:spacing w:after="0"/>
              <w:rPr>
                <w:sz w:val="24"/>
                <w:szCs w:val="24"/>
                <w:color w:val="auto"/>
              </w:rPr>
            </w:pPr>
          </w:p>
        </w:tc>
        <w:tc>
          <w:tcPr>
            <w:tcW w:w="340" w:type="dxa"/>
            <w:vAlign w:val="bottom"/>
            <w:tcBorders>
              <w:top w:val="single" w:sz="8" w:color="0000EE"/>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-6196965</wp:posOffset>
            </wp:positionV>
            <wp:extent cx="5648960" cy="48177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5648960" cy="4817745"/>
                    </a:xfrm>
                    <a:prstGeom prst="rect">
                      <a:avLst/>
                    </a:prstGeom>
                    <a:noFill/>
                  </pic:spPr>
                </pic:pic>
              </a:graphicData>
            </a:graphic>
          </wp:anchor>
        </w:drawing>
      </w:r>
    </w:p>
    <w:p>
      <w:pPr>
        <w:sectPr>
          <w:pgSz w:w="11900" w:h="16838" w:orient="portrait"/>
          <w:cols w:equalWidth="0" w:num="1">
            <w:col w:w="9019"/>
          </w:cols>
          <w:pgMar w:left="1440" w:top="670" w:right="1440" w:bottom="1440" w:gutter="0" w:footer="0" w:header="0"/>
        </w:sectPr>
      </w:pPr>
    </w:p>
    <w:bookmarkStart w:id="66" w:name="page67"/>
    <w:bookmarkEnd w:id="66"/>
    <w:p>
      <w:pPr>
        <w:jc w:val="right"/>
        <w:ind w:right="79"/>
        <w:spacing w:after="0"/>
        <w:rPr>
          <w:sz w:val="20"/>
          <w:szCs w:val="20"/>
          <w:color w:val="auto"/>
        </w:rPr>
      </w:pPr>
      <w:r>
        <w:rPr>
          <w:rFonts w:ascii="Arial" w:cs="Arial" w:eastAsia="Arial" w:hAnsi="Arial"/>
          <w:sz w:val="14"/>
          <w:szCs w:val="14"/>
          <w:color w:val="auto"/>
        </w:rPr>
        <w:t>3</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ARTICLE 1</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S</w:t>
      </w:r>
      <w:r>
        <w:rPr>
          <w:rFonts w:ascii="Arial" w:cs="Arial" w:eastAsia="Arial" w:hAnsi="Arial"/>
          <w:sz w:val="13"/>
          <w:szCs w:val="13"/>
          <w:b w:val="1"/>
          <w:bCs w:val="1"/>
          <w:color w:val="auto"/>
        </w:rPr>
        <w:t>cope and</w:t>
      </w:r>
      <w:r>
        <w:rPr>
          <w:rFonts w:ascii="Arial" w:cs="Arial" w:eastAsia="Arial" w:hAnsi="Arial"/>
          <w:sz w:val="20"/>
          <w:szCs w:val="20"/>
          <w:b w:val="1"/>
          <w:bCs w:val="1"/>
          <w:color w:val="auto"/>
        </w:rPr>
        <w:t xml:space="preserve"> B</w:t>
      </w:r>
      <w:r>
        <w:rPr>
          <w:rFonts w:ascii="Arial" w:cs="Arial" w:eastAsia="Arial" w:hAnsi="Arial"/>
          <w:sz w:val="13"/>
          <w:szCs w:val="13"/>
          <w:b w:val="1"/>
          <w:bCs w:val="1"/>
          <w:color w:val="auto"/>
        </w:rPr>
        <w:t>asis</w:t>
      </w:r>
    </w:p>
    <w:p>
      <w:pPr>
        <w:spacing w:after="0" w:line="74" w:lineRule="exact"/>
        <w:rPr>
          <w:sz w:val="20"/>
          <w:szCs w:val="20"/>
          <w:color w:val="auto"/>
        </w:rPr>
      </w:pPr>
    </w:p>
    <w:p>
      <w:pPr>
        <w:ind w:left="160" w:right="119" w:firstLine="648"/>
        <w:spacing w:after="0" w:line="233" w:lineRule="auto"/>
        <w:rPr>
          <w:sz w:val="20"/>
          <w:szCs w:val="20"/>
          <w:color w:val="auto"/>
        </w:rPr>
      </w:pPr>
      <w:r>
        <w:rPr>
          <w:rFonts w:ascii="Arial" w:cs="Arial" w:eastAsia="Arial" w:hAnsi="Arial"/>
          <w:sz w:val="20"/>
          <w:szCs w:val="20"/>
          <w:color w:val="auto"/>
        </w:rPr>
        <w:t xml:space="preserve">Section 1.01. </w:t>
      </w:r>
      <w:r>
        <w:rPr>
          <w:rFonts w:ascii="Arial" w:cs="Arial" w:eastAsia="Arial" w:hAnsi="Arial"/>
          <w:sz w:val="20"/>
          <w:szCs w:val="20"/>
          <w:i w:val="1"/>
          <w:iCs w:val="1"/>
          <w:color w:val="auto"/>
        </w:rPr>
        <w:t>Basis.</w:t>
      </w:r>
      <w:r>
        <w:rPr>
          <w:rFonts w:ascii="Arial" w:cs="Arial" w:eastAsia="Arial" w:hAnsi="Arial"/>
          <w:sz w:val="20"/>
          <w:szCs w:val="20"/>
          <w:color w:val="auto"/>
        </w:rPr>
        <w:t xml:space="preserve"> These Organizational Regulations (the </w:t>
      </w:r>
      <w:r>
        <w:rPr>
          <w:rFonts w:ascii="Arial" w:cs="Arial" w:eastAsia="Arial" w:hAnsi="Arial"/>
          <w:sz w:val="20"/>
          <w:szCs w:val="20"/>
          <w:b w:val="1"/>
          <w:bCs w:val="1"/>
          <w:color w:val="auto"/>
        </w:rPr>
        <w:t>Organizational Regulations</w:t>
      </w:r>
      <w:r>
        <w:rPr>
          <w:rFonts w:ascii="Arial" w:cs="Arial" w:eastAsia="Arial" w:hAnsi="Arial"/>
          <w:sz w:val="20"/>
          <w:szCs w:val="20"/>
          <w:color w:val="auto"/>
        </w:rPr>
        <w:t xml:space="preserve">) are enacted by the Board of Directors of Transocean Ltd. (the </w:t>
      </w:r>
      <w:r>
        <w:rPr>
          <w:rFonts w:ascii="Arial" w:cs="Arial" w:eastAsia="Arial" w:hAnsi="Arial"/>
          <w:sz w:val="20"/>
          <w:szCs w:val="20"/>
          <w:b w:val="1"/>
          <w:bCs w:val="1"/>
          <w:color w:val="auto"/>
        </w:rPr>
        <w:t>Company</w:t>
      </w:r>
      <w:r>
        <w:rPr>
          <w:rFonts w:ascii="Arial" w:cs="Arial" w:eastAsia="Arial" w:hAnsi="Arial"/>
          <w:sz w:val="20"/>
          <w:szCs w:val="20"/>
          <w:color w:val="auto"/>
        </w:rPr>
        <w:t xml:space="preserve">) pursuant to article 716b of the Swiss Code of Obligations (the </w:t>
      </w:r>
      <w:r>
        <w:rPr>
          <w:rFonts w:ascii="Arial" w:cs="Arial" w:eastAsia="Arial" w:hAnsi="Arial"/>
          <w:sz w:val="20"/>
          <w:szCs w:val="20"/>
          <w:b w:val="1"/>
          <w:bCs w:val="1"/>
          <w:color w:val="auto"/>
        </w:rPr>
        <w:t>CO</w:t>
      </w:r>
      <w:r>
        <w:rPr>
          <w:rFonts w:ascii="Arial" w:cs="Arial" w:eastAsia="Arial" w:hAnsi="Arial"/>
          <w:sz w:val="20"/>
          <w:szCs w:val="20"/>
          <w:color w:val="auto"/>
        </w:rPr>
        <w:t xml:space="preserve">) and Articles 24, 26, 27 and 28 of the Company's articles of association (the </w:t>
      </w:r>
      <w:r>
        <w:rPr>
          <w:rFonts w:ascii="Arial" w:cs="Arial" w:eastAsia="Arial" w:hAnsi="Arial"/>
          <w:sz w:val="20"/>
          <w:szCs w:val="20"/>
          <w:b w:val="1"/>
          <w:bCs w:val="1"/>
          <w:color w:val="auto"/>
        </w:rPr>
        <w:t>Articles of Association</w:t>
      </w:r>
      <w:r>
        <w:rPr>
          <w:rFonts w:ascii="Arial" w:cs="Arial" w:eastAsia="Arial" w:hAnsi="Arial"/>
          <w:sz w:val="20"/>
          <w:szCs w:val="20"/>
          <w:color w:val="auto"/>
        </w:rPr>
        <w:t>). The Organizational Regulations govern the internal organization and the duties, powers and responsibilities of the executive bodies of the Company (as defined below).</w:t>
      </w:r>
    </w:p>
    <w:p>
      <w:pPr>
        <w:spacing w:after="0" w:line="66" w:lineRule="exact"/>
        <w:rPr>
          <w:sz w:val="20"/>
          <w:szCs w:val="20"/>
          <w:color w:val="auto"/>
        </w:rPr>
      </w:pPr>
    </w:p>
    <w:p>
      <w:pPr>
        <w:ind w:left="160" w:right="119" w:firstLine="648"/>
        <w:spacing w:after="0" w:line="233" w:lineRule="auto"/>
        <w:rPr>
          <w:sz w:val="20"/>
          <w:szCs w:val="20"/>
          <w:color w:val="auto"/>
        </w:rPr>
      </w:pPr>
      <w:r>
        <w:rPr>
          <w:rFonts w:ascii="Arial" w:cs="Arial" w:eastAsia="Arial" w:hAnsi="Arial"/>
          <w:sz w:val="20"/>
          <w:szCs w:val="20"/>
          <w:color w:val="auto"/>
        </w:rPr>
        <w:t xml:space="preserve">Section 1.02. </w:t>
      </w:r>
      <w:r>
        <w:rPr>
          <w:rFonts w:ascii="Arial" w:cs="Arial" w:eastAsia="Arial" w:hAnsi="Arial"/>
          <w:sz w:val="20"/>
          <w:szCs w:val="20"/>
          <w:i w:val="1"/>
          <w:iCs w:val="1"/>
          <w:color w:val="auto"/>
        </w:rPr>
        <w:t>Group.</w:t>
      </w:r>
      <w:r>
        <w:rPr>
          <w:rFonts w:ascii="Arial" w:cs="Arial" w:eastAsia="Arial" w:hAnsi="Arial"/>
          <w:sz w:val="20"/>
          <w:szCs w:val="20"/>
          <w:color w:val="auto"/>
        </w:rPr>
        <w:t xml:space="preserve"> The Company is the holding company of an international group of companies active in businesses that are involved in offshore contract drilling services for oil and gas wells, oil and gas drilling management services, drilling engineering services and drilling project management services and oil and gas exploration and production activities. The executive bodies of the Company shall duly respect the legal independence of all Group companies and the local law applicable to them.</w:t>
      </w:r>
    </w:p>
    <w:p>
      <w:pPr>
        <w:spacing w:after="0" w:line="64" w:lineRule="exact"/>
        <w:rPr>
          <w:sz w:val="20"/>
          <w:szCs w:val="20"/>
          <w:color w:val="auto"/>
        </w:rPr>
      </w:pPr>
    </w:p>
    <w:p>
      <w:pPr>
        <w:ind w:left="160" w:right="199" w:firstLine="648"/>
        <w:spacing w:after="0" w:line="237" w:lineRule="auto"/>
        <w:rPr>
          <w:sz w:val="20"/>
          <w:szCs w:val="20"/>
          <w:color w:val="auto"/>
        </w:rPr>
      </w:pPr>
      <w:r>
        <w:rPr>
          <w:rFonts w:ascii="Arial" w:cs="Arial" w:eastAsia="Arial" w:hAnsi="Arial"/>
          <w:sz w:val="20"/>
          <w:szCs w:val="20"/>
          <w:color w:val="auto"/>
        </w:rPr>
        <w:t xml:space="preserve">Section 1.03. </w:t>
      </w:r>
      <w:r>
        <w:rPr>
          <w:rFonts w:ascii="Arial" w:cs="Arial" w:eastAsia="Arial" w:hAnsi="Arial"/>
          <w:sz w:val="20"/>
          <w:szCs w:val="20"/>
          <w:i w:val="1"/>
          <w:iCs w:val="1"/>
          <w:color w:val="auto"/>
        </w:rPr>
        <w:t>Organization.</w:t>
      </w:r>
      <w:r>
        <w:rPr>
          <w:rFonts w:ascii="Arial" w:cs="Arial" w:eastAsia="Arial" w:hAnsi="Arial"/>
          <w:sz w:val="20"/>
          <w:szCs w:val="20"/>
          <w:color w:val="auto"/>
        </w:rPr>
        <w:t xml:space="preserve"> For the purposes of these Organizational Regulations, the </w:t>
      </w:r>
      <w:r>
        <w:rPr>
          <w:rFonts w:ascii="Arial" w:cs="Arial" w:eastAsia="Arial" w:hAnsi="Arial"/>
          <w:sz w:val="20"/>
          <w:szCs w:val="20"/>
          <w:b w:val="1"/>
          <w:bCs w:val="1"/>
          <w:color w:val="auto"/>
        </w:rPr>
        <w:t xml:space="preserve">Group </w:t>
      </w:r>
      <w:r>
        <w:rPr>
          <w:rFonts w:ascii="Arial" w:cs="Arial" w:eastAsia="Arial" w:hAnsi="Arial"/>
          <w:sz w:val="20"/>
          <w:szCs w:val="20"/>
          <w:color w:val="auto"/>
        </w:rPr>
        <w:t>shall mean the Company and its Subsidiaries, whereby</w:t>
      </w:r>
      <w:r>
        <w:rPr>
          <w:rFonts w:ascii="Arial" w:cs="Arial" w:eastAsia="Arial" w:hAnsi="Arial"/>
          <w:sz w:val="20"/>
          <w:szCs w:val="20"/>
          <w:b w:val="1"/>
          <w:bCs w:val="1"/>
          <w:color w:val="auto"/>
        </w:rPr>
        <w:t xml:space="preserve"> Subsidiaries </w:t>
      </w:r>
      <w:r>
        <w:rPr>
          <w:rFonts w:ascii="Arial" w:cs="Arial" w:eastAsia="Arial" w:hAnsi="Arial"/>
          <w:sz w:val="20"/>
          <w:szCs w:val="20"/>
          <w:color w:val="auto"/>
        </w:rPr>
        <w:t>means all companies</w:t>
      </w:r>
      <w:r>
        <w:rPr>
          <w:rFonts w:ascii="Arial" w:cs="Arial" w:eastAsia="Arial" w:hAnsi="Arial"/>
          <w:sz w:val="20"/>
          <w:szCs w:val="20"/>
          <w:b w:val="1"/>
          <w:bCs w:val="1"/>
          <w:color w:val="auto"/>
        </w:rPr>
        <w:t xml:space="preserve"> </w:t>
      </w:r>
      <w:r>
        <w:rPr>
          <w:rFonts w:ascii="Arial" w:cs="Arial" w:eastAsia="Arial" w:hAnsi="Arial"/>
          <w:sz w:val="20"/>
          <w:szCs w:val="20"/>
          <w:color w:val="auto"/>
        </w:rPr>
        <w:t>in which the Company holds directly or indirectly a majority of the voting rights or has the right to appoint a majority of the members of the Board.</w:t>
      </w:r>
    </w:p>
    <w:p>
      <w:pPr>
        <w:spacing w:after="0" w:line="64" w:lineRule="exact"/>
        <w:rPr>
          <w:sz w:val="20"/>
          <w:szCs w:val="20"/>
          <w:color w:val="auto"/>
        </w:rPr>
      </w:pPr>
    </w:p>
    <w:p>
      <w:pPr>
        <w:ind w:left="800"/>
        <w:spacing w:after="0"/>
        <w:rPr>
          <w:sz w:val="20"/>
          <w:szCs w:val="20"/>
          <w:color w:val="auto"/>
        </w:rPr>
      </w:pPr>
      <w:r>
        <w:rPr>
          <w:rFonts w:ascii="Arial" w:cs="Arial" w:eastAsia="Arial" w:hAnsi="Arial"/>
          <w:sz w:val="20"/>
          <w:szCs w:val="20"/>
          <w:color w:val="auto"/>
        </w:rPr>
        <w:t xml:space="preserve">Section 1.04. </w:t>
      </w:r>
      <w:r>
        <w:rPr>
          <w:rFonts w:ascii="Arial" w:cs="Arial" w:eastAsia="Arial" w:hAnsi="Arial"/>
          <w:sz w:val="20"/>
          <w:szCs w:val="20"/>
          <w:i w:val="1"/>
          <w:iCs w:val="1"/>
          <w:color w:val="auto"/>
        </w:rPr>
        <w:t>Interpretation.</w:t>
      </w:r>
    </w:p>
    <w:p>
      <w:pPr>
        <w:spacing w:after="0" w:line="94" w:lineRule="exact"/>
        <w:rPr>
          <w:sz w:val="20"/>
          <w:szCs w:val="20"/>
          <w:color w:val="auto"/>
        </w:rPr>
      </w:pPr>
    </w:p>
    <w:p>
      <w:pPr>
        <w:ind w:left="1340" w:hanging="648"/>
        <w:spacing w:after="0"/>
        <w:tabs>
          <w:tab w:leader="none" w:pos="1340" w:val="left"/>
        </w:tabs>
        <w:numPr>
          <w:ilvl w:val="0"/>
          <w:numId w:val="226"/>
        </w:numPr>
        <w:rPr>
          <w:rFonts w:ascii="Arial" w:cs="Arial" w:eastAsia="Arial" w:hAnsi="Arial"/>
          <w:sz w:val="20"/>
          <w:szCs w:val="20"/>
          <w:color w:val="auto"/>
        </w:rPr>
      </w:pPr>
      <w:r>
        <w:rPr>
          <w:rFonts w:ascii="Arial" w:cs="Arial" w:eastAsia="Arial" w:hAnsi="Arial"/>
          <w:sz w:val="20"/>
          <w:szCs w:val="20"/>
          <w:color w:val="auto"/>
        </w:rPr>
        <w:t>Words importing the singular number shall also include the plural number and vice-</w:t>
      </w:r>
    </w:p>
    <w:p>
      <w:pPr>
        <w:spacing w:after="0" w:line="4" w:lineRule="exact"/>
        <w:rPr>
          <w:sz w:val="20"/>
          <w:szCs w:val="20"/>
          <w:color w:val="auto"/>
        </w:rPr>
      </w:pPr>
    </w:p>
    <w:p>
      <w:pPr>
        <w:ind w:left="40"/>
        <w:spacing w:after="0"/>
        <w:rPr>
          <w:sz w:val="20"/>
          <w:szCs w:val="20"/>
          <w:color w:val="auto"/>
        </w:rPr>
      </w:pPr>
      <w:r>
        <w:rPr>
          <w:rFonts w:ascii="Arial" w:cs="Arial" w:eastAsia="Arial" w:hAnsi="Arial"/>
          <w:sz w:val="20"/>
          <w:szCs w:val="20"/>
          <w:color w:val="auto"/>
        </w:rPr>
        <w:t>versa.</w:t>
      </w:r>
    </w:p>
    <w:p>
      <w:pPr>
        <w:spacing w:after="0" w:line="76" w:lineRule="exact"/>
        <w:rPr>
          <w:sz w:val="20"/>
          <w:szCs w:val="20"/>
          <w:color w:val="auto"/>
        </w:rPr>
      </w:pPr>
    </w:p>
    <w:p>
      <w:pPr>
        <w:ind w:left="1340" w:hanging="648"/>
        <w:spacing w:after="0"/>
        <w:tabs>
          <w:tab w:leader="none" w:pos="1340" w:val="left"/>
        </w:tabs>
        <w:numPr>
          <w:ilvl w:val="0"/>
          <w:numId w:val="227"/>
        </w:numPr>
        <w:rPr>
          <w:rFonts w:ascii="Arial" w:cs="Arial" w:eastAsia="Arial" w:hAnsi="Arial"/>
          <w:sz w:val="20"/>
          <w:szCs w:val="20"/>
          <w:color w:val="auto"/>
        </w:rPr>
      </w:pPr>
      <w:r>
        <w:rPr>
          <w:rFonts w:ascii="Arial" w:cs="Arial" w:eastAsia="Arial" w:hAnsi="Arial"/>
          <w:sz w:val="20"/>
          <w:szCs w:val="20"/>
          <w:color w:val="auto"/>
        </w:rPr>
        <w:t>Words importing the masculine gender shall also include the feminine gender.</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ARTICLE 2</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C</w:t>
      </w:r>
      <w:r>
        <w:rPr>
          <w:rFonts w:ascii="Arial" w:cs="Arial" w:eastAsia="Arial" w:hAnsi="Arial"/>
          <w:sz w:val="13"/>
          <w:szCs w:val="13"/>
          <w:b w:val="1"/>
          <w:bCs w:val="1"/>
          <w:color w:val="auto"/>
        </w:rPr>
        <w:t>orporate</w:t>
      </w:r>
      <w:r>
        <w:rPr>
          <w:rFonts w:ascii="Arial" w:cs="Arial" w:eastAsia="Arial" w:hAnsi="Arial"/>
          <w:sz w:val="20"/>
          <w:szCs w:val="20"/>
          <w:b w:val="1"/>
          <w:bCs w:val="1"/>
          <w:color w:val="auto"/>
        </w:rPr>
        <w:t xml:space="preserve"> O</w:t>
      </w:r>
      <w:r>
        <w:rPr>
          <w:rFonts w:ascii="Arial" w:cs="Arial" w:eastAsia="Arial" w:hAnsi="Arial"/>
          <w:sz w:val="13"/>
          <w:szCs w:val="13"/>
          <w:b w:val="1"/>
          <w:bCs w:val="1"/>
          <w:color w:val="auto"/>
        </w:rPr>
        <w:t>rganization</w:t>
      </w:r>
    </w:p>
    <w:p>
      <w:pPr>
        <w:spacing w:after="0" w:line="76" w:lineRule="exact"/>
        <w:rPr>
          <w:sz w:val="20"/>
          <w:szCs w:val="20"/>
          <w:color w:val="auto"/>
        </w:rPr>
      </w:pPr>
    </w:p>
    <w:p>
      <w:pPr>
        <w:ind w:left="700"/>
        <w:spacing w:after="0"/>
        <w:rPr>
          <w:sz w:val="20"/>
          <w:szCs w:val="20"/>
          <w:color w:val="auto"/>
        </w:rPr>
      </w:pPr>
      <w:r>
        <w:rPr>
          <w:rFonts w:ascii="Arial" w:cs="Arial" w:eastAsia="Arial" w:hAnsi="Arial"/>
          <w:sz w:val="20"/>
          <w:szCs w:val="20"/>
          <w:color w:val="auto"/>
        </w:rPr>
        <w:t>The Company shall have the following functions and committees:</w:t>
      </w:r>
    </w:p>
    <w:p>
      <w:pPr>
        <w:spacing w:after="0" w:line="92" w:lineRule="exact"/>
        <w:rPr>
          <w:sz w:val="20"/>
          <w:szCs w:val="20"/>
          <w:color w:val="auto"/>
        </w:rPr>
      </w:pPr>
    </w:p>
    <w:p>
      <w:pPr>
        <w:ind w:left="1340" w:hanging="648"/>
        <w:spacing w:after="0"/>
        <w:tabs>
          <w:tab w:leader="none" w:pos="1340" w:val="left"/>
        </w:tabs>
        <w:numPr>
          <w:ilvl w:val="0"/>
          <w:numId w:val="228"/>
        </w:numPr>
        <w:rPr>
          <w:rFonts w:ascii="Arial" w:cs="Arial" w:eastAsia="Arial" w:hAnsi="Arial"/>
          <w:sz w:val="20"/>
          <w:szCs w:val="20"/>
          <w:color w:val="auto"/>
        </w:rPr>
      </w:pPr>
      <w:r>
        <w:rPr>
          <w:rFonts w:ascii="Arial" w:cs="Arial" w:eastAsia="Arial" w:hAnsi="Arial"/>
          <w:sz w:val="20"/>
          <w:szCs w:val="20"/>
          <w:color w:val="auto"/>
        </w:rPr>
        <w:t xml:space="preserve">the Board of Directors (the </w:t>
      </w:r>
      <w:r>
        <w:rPr>
          <w:rFonts w:ascii="Arial" w:cs="Arial" w:eastAsia="Arial" w:hAnsi="Arial"/>
          <w:sz w:val="20"/>
          <w:szCs w:val="20"/>
          <w:b w:val="1"/>
          <w:bCs w:val="1"/>
          <w:color w:val="auto"/>
        </w:rPr>
        <w:t>Board</w:t>
      </w:r>
      <w:r>
        <w:rPr>
          <w:rFonts w:ascii="Arial" w:cs="Arial" w:eastAsia="Arial" w:hAnsi="Arial"/>
          <w:sz w:val="20"/>
          <w:szCs w:val="20"/>
          <w:color w:val="auto"/>
        </w:rPr>
        <w:t>);</w:t>
      </w:r>
    </w:p>
    <w:p>
      <w:pPr>
        <w:spacing w:after="0" w:line="94" w:lineRule="exact"/>
        <w:rPr>
          <w:rFonts w:ascii="Arial" w:cs="Arial" w:eastAsia="Arial" w:hAnsi="Arial"/>
          <w:sz w:val="20"/>
          <w:szCs w:val="20"/>
          <w:color w:val="auto"/>
        </w:rPr>
      </w:pPr>
    </w:p>
    <w:p>
      <w:pPr>
        <w:ind w:left="1340" w:hanging="648"/>
        <w:spacing w:after="0"/>
        <w:tabs>
          <w:tab w:leader="none" w:pos="1340" w:val="left"/>
        </w:tabs>
        <w:numPr>
          <w:ilvl w:val="0"/>
          <w:numId w:val="228"/>
        </w:numPr>
        <w:rPr>
          <w:rFonts w:ascii="Arial" w:cs="Arial" w:eastAsia="Arial" w:hAnsi="Arial"/>
          <w:sz w:val="20"/>
          <w:szCs w:val="20"/>
          <w:color w:val="auto"/>
        </w:rPr>
      </w:pPr>
      <w:r>
        <w:rPr>
          <w:rFonts w:ascii="Arial" w:cs="Arial" w:eastAsia="Arial" w:hAnsi="Arial"/>
          <w:sz w:val="20"/>
          <w:szCs w:val="20"/>
          <w:color w:val="auto"/>
        </w:rPr>
        <w:t xml:space="preserve">the chairperson of the Board (the </w:t>
      </w:r>
      <w:r>
        <w:rPr>
          <w:rFonts w:ascii="Arial" w:cs="Arial" w:eastAsia="Arial" w:hAnsi="Arial"/>
          <w:sz w:val="20"/>
          <w:szCs w:val="20"/>
          <w:b w:val="1"/>
          <w:bCs w:val="1"/>
          <w:color w:val="auto"/>
        </w:rPr>
        <w:t>Chairperson</w:t>
      </w:r>
      <w:r>
        <w:rPr>
          <w:rFonts w:ascii="Arial" w:cs="Arial" w:eastAsia="Arial" w:hAnsi="Arial"/>
          <w:sz w:val="20"/>
          <w:szCs w:val="20"/>
          <w:color w:val="auto"/>
        </w:rPr>
        <w:t>);</w:t>
      </w:r>
    </w:p>
    <w:p>
      <w:pPr>
        <w:spacing w:after="0" w:line="94" w:lineRule="exact"/>
        <w:rPr>
          <w:rFonts w:ascii="Arial" w:cs="Arial" w:eastAsia="Arial" w:hAnsi="Arial"/>
          <w:sz w:val="20"/>
          <w:szCs w:val="20"/>
          <w:color w:val="auto"/>
        </w:rPr>
      </w:pPr>
    </w:p>
    <w:p>
      <w:pPr>
        <w:ind w:left="1340" w:hanging="648"/>
        <w:spacing w:after="0"/>
        <w:tabs>
          <w:tab w:leader="none" w:pos="1340" w:val="left"/>
        </w:tabs>
        <w:numPr>
          <w:ilvl w:val="0"/>
          <w:numId w:val="228"/>
        </w:numPr>
        <w:rPr>
          <w:rFonts w:ascii="Arial" w:cs="Arial" w:eastAsia="Arial" w:hAnsi="Arial"/>
          <w:sz w:val="20"/>
          <w:szCs w:val="20"/>
          <w:color w:val="auto"/>
        </w:rPr>
      </w:pPr>
      <w:r>
        <w:rPr>
          <w:rFonts w:ascii="Arial" w:cs="Arial" w:eastAsia="Arial" w:hAnsi="Arial"/>
          <w:sz w:val="20"/>
          <w:szCs w:val="20"/>
          <w:color w:val="auto"/>
        </w:rPr>
        <w:t xml:space="preserve">the lead independent director (the </w:t>
      </w:r>
      <w:r>
        <w:rPr>
          <w:rFonts w:ascii="Arial" w:cs="Arial" w:eastAsia="Arial" w:hAnsi="Arial"/>
          <w:sz w:val="20"/>
          <w:szCs w:val="20"/>
          <w:b w:val="1"/>
          <w:bCs w:val="1"/>
          <w:color w:val="auto"/>
        </w:rPr>
        <w:t>Lead Independent Director</w:t>
      </w:r>
      <w:r>
        <w:rPr>
          <w:rFonts w:ascii="Arial" w:cs="Arial" w:eastAsia="Arial" w:hAnsi="Arial"/>
          <w:sz w:val="20"/>
          <w:szCs w:val="20"/>
          <w:color w:val="auto"/>
        </w:rPr>
        <w:t>)</w:t>
      </w:r>
    </w:p>
    <w:p>
      <w:pPr>
        <w:spacing w:after="0" w:line="96" w:lineRule="exact"/>
        <w:rPr>
          <w:rFonts w:ascii="Arial" w:cs="Arial" w:eastAsia="Arial" w:hAnsi="Arial"/>
          <w:sz w:val="20"/>
          <w:szCs w:val="20"/>
          <w:color w:val="auto"/>
        </w:rPr>
      </w:pPr>
    </w:p>
    <w:p>
      <w:pPr>
        <w:ind w:left="40" w:right="79" w:firstLine="652"/>
        <w:spacing w:after="0" w:line="268" w:lineRule="auto"/>
        <w:tabs>
          <w:tab w:leader="none" w:pos="1336" w:val="left"/>
        </w:tabs>
        <w:numPr>
          <w:ilvl w:val="0"/>
          <w:numId w:val="228"/>
        </w:numPr>
        <w:rPr>
          <w:rFonts w:ascii="Arial" w:cs="Arial" w:eastAsia="Arial" w:hAnsi="Arial"/>
          <w:sz w:val="20"/>
          <w:szCs w:val="20"/>
          <w:color w:val="auto"/>
        </w:rPr>
      </w:pPr>
      <w:r>
        <w:rPr>
          <w:rFonts w:ascii="Arial" w:cs="Arial" w:eastAsia="Arial" w:hAnsi="Arial"/>
          <w:sz w:val="20"/>
          <w:szCs w:val="20"/>
          <w:color w:val="auto"/>
        </w:rPr>
        <w:t xml:space="preserve">the board committees established from time to time pursuant to the Articles of Association and these Organizational Regulations (the </w:t>
      </w:r>
      <w:r>
        <w:rPr>
          <w:rFonts w:ascii="Arial" w:cs="Arial" w:eastAsia="Arial" w:hAnsi="Arial"/>
          <w:sz w:val="20"/>
          <w:szCs w:val="20"/>
          <w:b w:val="1"/>
          <w:bCs w:val="1"/>
          <w:color w:val="auto"/>
        </w:rPr>
        <w:t>Board Committees</w:t>
      </w:r>
      <w:r>
        <w:rPr>
          <w:rFonts w:ascii="Arial" w:cs="Arial" w:eastAsia="Arial" w:hAnsi="Arial"/>
          <w:sz w:val="20"/>
          <w:szCs w:val="20"/>
          <w:color w:val="auto"/>
        </w:rPr>
        <w:t>);</w:t>
      </w:r>
    </w:p>
    <w:p>
      <w:pPr>
        <w:spacing w:after="0" w:line="24" w:lineRule="exact"/>
        <w:rPr>
          <w:rFonts w:ascii="Arial" w:cs="Arial" w:eastAsia="Arial" w:hAnsi="Arial"/>
          <w:sz w:val="20"/>
          <w:szCs w:val="20"/>
          <w:color w:val="auto"/>
        </w:rPr>
      </w:pPr>
    </w:p>
    <w:p>
      <w:pPr>
        <w:ind w:left="1340" w:hanging="648"/>
        <w:spacing w:after="0"/>
        <w:tabs>
          <w:tab w:leader="none" w:pos="1340" w:val="left"/>
        </w:tabs>
        <w:numPr>
          <w:ilvl w:val="0"/>
          <w:numId w:val="228"/>
        </w:numPr>
        <w:rPr>
          <w:rFonts w:ascii="Arial" w:cs="Arial" w:eastAsia="Arial" w:hAnsi="Arial"/>
          <w:sz w:val="20"/>
          <w:szCs w:val="20"/>
          <w:color w:val="auto"/>
        </w:rPr>
      </w:pPr>
      <w:r>
        <w:rPr>
          <w:rFonts w:ascii="Arial" w:cs="Arial" w:eastAsia="Arial" w:hAnsi="Arial"/>
          <w:sz w:val="20"/>
          <w:szCs w:val="20"/>
          <w:color w:val="auto"/>
        </w:rPr>
        <w:t xml:space="preserve">the chief executive officer of the Company (the </w:t>
      </w:r>
      <w:r>
        <w:rPr>
          <w:rFonts w:ascii="Arial" w:cs="Arial" w:eastAsia="Arial" w:hAnsi="Arial"/>
          <w:sz w:val="20"/>
          <w:szCs w:val="20"/>
          <w:b w:val="1"/>
          <w:bCs w:val="1"/>
          <w:color w:val="auto"/>
        </w:rPr>
        <w:t>Chief Executive Officer</w:t>
      </w:r>
      <w:r>
        <w:rPr>
          <w:rFonts w:ascii="Arial" w:cs="Arial" w:eastAsia="Arial" w:hAnsi="Arial"/>
          <w:sz w:val="20"/>
          <w:szCs w:val="20"/>
          <w:color w:val="auto"/>
        </w:rPr>
        <w:t>); and</w:t>
      </w:r>
    </w:p>
    <w:p>
      <w:pPr>
        <w:spacing w:after="0" w:line="94" w:lineRule="exact"/>
        <w:rPr>
          <w:rFonts w:ascii="Arial" w:cs="Arial" w:eastAsia="Arial" w:hAnsi="Arial"/>
          <w:sz w:val="20"/>
          <w:szCs w:val="20"/>
          <w:color w:val="auto"/>
        </w:rPr>
      </w:pPr>
    </w:p>
    <w:p>
      <w:pPr>
        <w:ind w:left="1340" w:hanging="648"/>
        <w:spacing w:after="0"/>
        <w:tabs>
          <w:tab w:leader="none" w:pos="1340" w:val="left"/>
        </w:tabs>
        <w:numPr>
          <w:ilvl w:val="0"/>
          <w:numId w:val="228"/>
        </w:numPr>
        <w:rPr>
          <w:rFonts w:ascii="Arial" w:cs="Arial" w:eastAsia="Arial" w:hAnsi="Arial"/>
          <w:sz w:val="20"/>
          <w:szCs w:val="20"/>
          <w:color w:val="auto"/>
        </w:rPr>
      </w:pPr>
      <w:r>
        <w:rPr>
          <w:rFonts w:ascii="Arial" w:cs="Arial" w:eastAsia="Arial" w:hAnsi="Arial"/>
          <w:sz w:val="20"/>
          <w:szCs w:val="20"/>
          <w:color w:val="auto"/>
        </w:rPr>
        <w:t xml:space="preserve">the Executive Management Team of the Company (the </w:t>
      </w:r>
      <w:r>
        <w:rPr>
          <w:rFonts w:ascii="Arial" w:cs="Arial" w:eastAsia="Arial" w:hAnsi="Arial"/>
          <w:sz w:val="20"/>
          <w:szCs w:val="20"/>
          <w:b w:val="1"/>
          <w:bCs w:val="1"/>
          <w:color w:val="auto"/>
        </w:rPr>
        <w:t>Executive Management</w:t>
      </w:r>
    </w:p>
    <w:p>
      <w:pPr>
        <w:spacing w:after="0" w:line="6" w:lineRule="exact"/>
        <w:rPr>
          <w:rFonts w:ascii="Arial" w:cs="Arial" w:eastAsia="Arial" w:hAnsi="Arial"/>
          <w:sz w:val="20"/>
          <w:szCs w:val="20"/>
          <w:color w:val="auto"/>
        </w:rPr>
      </w:pPr>
    </w:p>
    <w:p>
      <w:pPr>
        <w:ind w:left="40"/>
        <w:spacing w:after="0"/>
        <w:rPr>
          <w:rFonts w:ascii="Arial" w:cs="Arial" w:eastAsia="Arial" w:hAnsi="Arial"/>
          <w:sz w:val="20"/>
          <w:szCs w:val="20"/>
          <w:color w:val="auto"/>
        </w:rPr>
      </w:pPr>
      <w:r>
        <w:rPr>
          <w:rFonts w:ascii="Arial" w:cs="Arial" w:eastAsia="Arial" w:hAnsi="Arial"/>
          <w:sz w:val="20"/>
          <w:szCs w:val="20"/>
          <w:b w:val="1"/>
          <w:bCs w:val="1"/>
          <w:color w:val="auto"/>
        </w:rPr>
        <w:t>Team</w:t>
      </w:r>
      <w:r>
        <w:rPr>
          <w:rFonts w:ascii="Arial" w:cs="Arial" w:eastAsia="Arial" w:hAnsi="Arial"/>
          <w:sz w:val="20"/>
          <w:szCs w:val="20"/>
          <w:color w:val="auto"/>
        </w:rPr>
        <w:t>).</w:t>
      </w:r>
    </w:p>
    <w:p>
      <w:pPr>
        <w:spacing w:after="0" w:line="76"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ARTICLE 3</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T</w:t>
      </w:r>
      <w:r>
        <w:rPr>
          <w:rFonts w:ascii="Arial" w:cs="Arial" w:eastAsia="Arial" w:hAnsi="Arial"/>
          <w:sz w:val="13"/>
          <w:szCs w:val="13"/>
          <w:b w:val="1"/>
          <w:bCs w:val="1"/>
          <w:color w:val="auto"/>
        </w:rPr>
        <w:t>he</w:t>
      </w:r>
      <w:r>
        <w:rPr>
          <w:rFonts w:ascii="Arial" w:cs="Arial" w:eastAsia="Arial" w:hAnsi="Arial"/>
          <w:sz w:val="20"/>
          <w:szCs w:val="20"/>
          <w:b w:val="1"/>
          <w:bCs w:val="1"/>
          <w:color w:val="auto"/>
        </w:rPr>
        <w:t xml:space="preserve"> B</w:t>
      </w:r>
      <w:r>
        <w:rPr>
          <w:rFonts w:ascii="Arial" w:cs="Arial" w:eastAsia="Arial" w:hAnsi="Arial"/>
          <w:sz w:val="13"/>
          <w:szCs w:val="13"/>
          <w:b w:val="1"/>
          <w:bCs w:val="1"/>
          <w:color w:val="auto"/>
        </w:rPr>
        <w:t>oard</w:t>
      </w:r>
    </w:p>
    <w:p>
      <w:pPr>
        <w:spacing w:after="0" w:line="76" w:lineRule="exact"/>
        <w:rPr>
          <w:sz w:val="20"/>
          <w:szCs w:val="20"/>
          <w:color w:val="auto"/>
        </w:rPr>
      </w:pPr>
    </w:p>
    <w:p>
      <w:pPr>
        <w:ind w:left="160" w:right="99" w:firstLine="648"/>
        <w:spacing w:after="0" w:line="243" w:lineRule="auto"/>
        <w:rPr>
          <w:sz w:val="20"/>
          <w:szCs w:val="20"/>
          <w:color w:val="auto"/>
        </w:rPr>
      </w:pPr>
      <w:r>
        <w:rPr>
          <w:rFonts w:ascii="Arial" w:cs="Arial" w:eastAsia="Arial" w:hAnsi="Arial"/>
          <w:sz w:val="19"/>
          <w:szCs w:val="19"/>
          <w:color w:val="auto"/>
        </w:rPr>
        <w:t xml:space="preserve">Section 3.01. </w:t>
      </w:r>
      <w:r>
        <w:rPr>
          <w:rFonts w:ascii="Arial" w:cs="Arial" w:eastAsia="Arial" w:hAnsi="Arial"/>
          <w:sz w:val="19"/>
          <w:szCs w:val="19"/>
          <w:i w:val="1"/>
          <w:iCs w:val="1"/>
          <w:color w:val="auto"/>
        </w:rPr>
        <w:t>Constitution.</w:t>
      </w:r>
      <w:r>
        <w:rPr>
          <w:rFonts w:ascii="Arial" w:cs="Arial" w:eastAsia="Arial" w:hAnsi="Arial"/>
          <w:sz w:val="19"/>
          <w:szCs w:val="19"/>
          <w:color w:val="auto"/>
        </w:rPr>
        <w:t xml:space="preserve"> The Board may elect from among its members one or more Vice-Chairpersons and, when the Chairperson is not independent, a Lead Independent Director. It shall further appoint a Secretary who need not be a member of the Board. The Secretary shall keep the minutes of the General Meetings of Shareholders and the meetings of the Board and give notice of such meetings and shall perform like duties for the committees of the Board when so required. In the case of the absence or inability to act of the Secretary, any Assistant Secretary (or, in the case of keeping minutes of the General Meeting of Shareholders or the meetings of the Board, any other person designated by the presiding officer of such meeting) may act in the Secretary's 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553085</wp:posOffset>
            </wp:positionV>
            <wp:extent cx="5648960" cy="2603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5648960" cy="26035"/>
                    </a:xfrm>
                    <a:prstGeom prst="rect">
                      <a:avLst/>
                    </a:prstGeom>
                    <a:noFill/>
                  </pic:spPr>
                </pic:pic>
              </a:graphicData>
            </a:graphic>
          </wp:anchor>
        </w:drawing>
      </w:r>
    </w:p>
    <w:p>
      <w:pPr>
        <w:sectPr>
          <w:pgSz w:w="11900" w:h="16838" w:orient="portrait"/>
          <w:cols w:equalWidth="0" w:num="1">
            <w:col w:w="9019"/>
          </w:cols>
          <w:pgMar w:left="1440" w:top="670" w:right="1440" w:bottom="1440" w:gutter="0" w:footer="0" w:header="0"/>
        </w:sectPr>
      </w:pPr>
    </w:p>
    <w:bookmarkStart w:id="67" w:name="page68"/>
    <w:bookmarkEnd w:id="67"/>
    <w:p>
      <w:pPr>
        <w:ind w:left="8860"/>
        <w:spacing w:after="0"/>
        <w:rPr>
          <w:sz w:val="20"/>
          <w:szCs w:val="20"/>
          <w:color w:val="auto"/>
        </w:rPr>
      </w:pPr>
      <w:r>
        <w:rPr>
          <w:rFonts w:ascii="Arial" w:cs="Arial" w:eastAsia="Arial" w:hAnsi="Arial"/>
          <w:sz w:val="14"/>
          <w:szCs w:val="14"/>
          <w:color w:val="auto"/>
        </w:rPr>
        <w:t>4</w:t>
      </w:r>
    </w:p>
    <w:p>
      <w:pPr>
        <w:spacing w:after="0" w:line="205" w:lineRule="exact"/>
        <w:rPr>
          <w:sz w:val="20"/>
          <w:szCs w:val="20"/>
          <w:color w:val="auto"/>
        </w:rPr>
      </w:pPr>
    </w:p>
    <w:p>
      <w:pPr>
        <w:ind w:left="160" w:right="139" w:firstLine="648"/>
        <w:spacing w:after="0" w:line="241" w:lineRule="auto"/>
        <w:rPr>
          <w:sz w:val="20"/>
          <w:szCs w:val="20"/>
          <w:color w:val="auto"/>
        </w:rPr>
      </w:pPr>
      <w:r>
        <w:rPr>
          <w:rFonts w:ascii="Arial" w:cs="Arial" w:eastAsia="Arial" w:hAnsi="Arial"/>
          <w:sz w:val="20"/>
          <w:szCs w:val="20"/>
          <w:color w:val="auto"/>
        </w:rPr>
        <w:t xml:space="preserve">Section 3.02. </w:t>
      </w:r>
      <w:r>
        <w:rPr>
          <w:rFonts w:ascii="Arial" w:cs="Arial" w:eastAsia="Arial" w:hAnsi="Arial"/>
          <w:sz w:val="20"/>
          <w:szCs w:val="20"/>
          <w:i w:val="1"/>
          <w:iCs w:val="1"/>
          <w:color w:val="auto"/>
        </w:rPr>
        <w:t>Board Composition.</w:t>
      </w:r>
      <w:r>
        <w:rPr>
          <w:rFonts w:ascii="Arial" w:cs="Arial" w:eastAsia="Arial" w:hAnsi="Arial"/>
          <w:sz w:val="20"/>
          <w:szCs w:val="20"/>
          <w:color w:val="auto"/>
        </w:rPr>
        <w:t xml:space="preserve"> In selecting candidates for Board membership the Board shall give due consideration to the governance framework set forth in the Corporate Governance Guidelines of the Company.</w:t>
      </w:r>
    </w:p>
    <w:p>
      <w:pPr>
        <w:spacing w:after="0" w:line="63" w:lineRule="exact"/>
        <w:rPr>
          <w:sz w:val="20"/>
          <w:szCs w:val="20"/>
          <w:color w:val="auto"/>
        </w:rPr>
      </w:pPr>
    </w:p>
    <w:p>
      <w:pPr>
        <w:ind w:left="800"/>
        <w:spacing w:after="0"/>
        <w:rPr>
          <w:sz w:val="20"/>
          <w:szCs w:val="20"/>
          <w:color w:val="auto"/>
        </w:rPr>
      </w:pPr>
      <w:r>
        <w:rPr>
          <w:rFonts w:ascii="Arial" w:cs="Arial" w:eastAsia="Arial" w:hAnsi="Arial"/>
          <w:sz w:val="20"/>
          <w:szCs w:val="20"/>
          <w:color w:val="auto"/>
        </w:rPr>
        <w:t xml:space="preserve">Section 3.03. </w:t>
      </w:r>
      <w:r>
        <w:rPr>
          <w:rFonts w:ascii="Arial" w:cs="Arial" w:eastAsia="Arial" w:hAnsi="Arial"/>
          <w:sz w:val="20"/>
          <w:szCs w:val="20"/>
          <w:i w:val="1"/>
          <w:iCs w:val="1"/>
          <w:color w:val="auto"/>
        </w:rPr>
        <w:t>Powers and Duties.</w:t>
      </w:r>
    </w:p>
    <w:p>
      <w:pPr>
        <w:spacing w:after="0" w:line="94" w:lineRule="exact"/>
        <w:rPr>
          <w:sz w:val="20"/>
          <w:szCs w:val="20"/>
          <w:color w:val="auto"/>
        </w:rPr>
      </w:pPr>
    </w:p>
    <w:p>
      <w:pPr>
        <w:jc w:val="both"/>
        <w:ind w:left="40" w:right="79" w:firstLine="652"/>
        <w:spacing w:after="0" w:line="241" w:lineRule="auto"/>
        <w:tabs>
          <w:tab w:leader="none" w:pos="1336" w:val="left"/>
        </w:tabs>
        <w:numPr>
          <w:ilvl w:val="1"/>
          <w:numId w:val="229"/>
        </w:numPr>
        <w:rPr>
          <w:rFonts w:ascii="Arial" w:cs="Arial" w:eastAsia="Arial" w:hAnsi="Arial"/>
          <w:sz w:val="20"/>
          <w:szCs w:val="20"/>
          <w:color w:val="auto"/>
        </w:rPr>
      </w:pPr>
      <w:r>
        <w:rPr>
          <w:rFonts w:ascii="Arial" w:cs="Arial" w:eastAsia="Arial" w:hAnsi="Arial"/>
          <w:sz w:val="20"/>
          <w:szCs w:val="20"/>
          <w:color w:val="auto"/>
        </w:rPr>
        <w:t>The Board is the ultimate executive body of the Company and shall determine­ the principles of the business strategy and policies. The Board shall exercise its function as required by law, the Articles of Association and these Organizational Regulations.</w:t>
      </w:r>
    </w:p>
    <w:p>
      <w:pPr>
        <w:spacing w:after="0" w:line="63" w:lineRule="exact"/>
        <w:rPr>
          <w:rFonts w:ascii="Arial" w:cs="Arial" w:eastAsia="Arial" w:hAnsi="Arial"/>
          <w:sz w:val="20"/>
          <w:szCs w:val="20"/>
          <w:color w:val="auto"/>
        </w:rPr>
      </w:pPr>
    </w:p>
    <w:p>
      <w:pPr>
        <w:jc w:val="both"/>
        <w:ind w:left="40" w:right="79" w:firstLine="652"/>
        <w:spacing w:after="0" w:line="241" w:lineRule="auto"/>
        <w:tabs>
          <w:tab w:leader="none" w:pos="1336" w:val="left"/>
        </w:tabs>
        <w:numPr>
          <w:ilvl w:val="1"/>
          <w:numId w:val="229"/>
        </w:numPr>
        <w:rPr>
          <w:rFonts w:ascii="Arial" w:cs="Arial" w:eastAsia="Arial" w:hAnsi="Arial"/>
          <w:sz w:val="20"/>
          <w:szCs w:val="20"/>
          <w:color w:val="auto"/>
        </w:rPr>
      </w:pPr>
      <w:r>
        <w:rPr>
          <w:rFonts w:ascii="Arial" w:cs="Arial" w:eastAsia="Arial" w:hAnsi="Arial"/>
          <w:sz w:val="20"/>
          <w:szCs w:val="20"/>
          <w:color w:val="auto"/>
        </w:rPr>
        <w:t>The Board shall be authorized to pass resolutions on all matters that are not reserved to the General Meeting of Shareholders or to other executive bodies by applicable law, the Articles of Association or these Organizational Regulations.</w:t>
      </w:r>
    </w:p>
    <w:p>
      <w:pPr>
        <w:spacing w:after="0" w:line="63" w:lineRule="exact"/>
        <w:rPr>
          <w:rFonts w:ascii="Arial" w:cs="Arial" w:eastAsia="Arial" w:hAnsi="Arial"/>
          <w:sz w:val="20"/>
          <w:szCs w:val="20"/>
          <w:color w:val="auto"/>
        </w:rPr>
      </w:pPr>
    </w:p>
    <w:p>
      <w:pPr>
        <w:ind w:left="1340" w:hanging="648"/>
        <w:spacing w:after="0"/>
        <w:tabs>
          <w:tab w:leader="none" w:pos="1340" w:val="left"/>
        </w:tabs>
        <w:numPr>
          <w:ilvl w:val="1"/>
          <w:numId w:val="229"/>
        </w:numPr>
        <w:rPr>
          <w:rFonts w:ascii="Arial" w:cs="Arial" w:eastAsia="Arial" w:hAnsi="Arial"/>
          <w:sz w:val="20"/>
          <w:szCs w:val="20"/>
          <w:color w:val="auto"/>
        </w:rPr>
      </w:pPr>
      <w:r>
        <w:rPr>
          <w:rFonts w:ascii="Arial" w:cs="Arial" w:eastAsia="Arial" w:hAnsi="Arial"/>
          <w:sz w:val="20"/>
          <w:szCs w:val="20"/>
          <w:color w:val="auto"/>
        </w:rPr>
        <w:t>In particular, the Board has the following powers and duties:</w:t>
      </w:r>
    </w:p>
    <w:p>
      <w:pPr>
        <w:spacing w:after="0" w:line="94" w:lineRule="exact"/>
        <w:rPr>
          <w:rFonts w:ascii="Arial" w:cs="Arial" w:eastAsia="Arial" w:hAnsi="Arial"/>
          <w:sz w:val="20"/>
          <w:szCs w:val="20"/>
          <w:color w:val="auto"/>
        </w:rPr>
      </w:pPr>
    </w:p>
    <w:p>
      <w:pPr>
        <w:ind w:left="40" w:right="79" w:firstLine="4"/>
        <w:spacing w:after="0" w:line="257" w:lineRule="auto"/>
        <w:tabs>
          <w:tab w:leader="none" w:pos="1103" w:val="left"/>
        </w:tabs>
        <w:numPr>
          <w:ilvl w:val="0"/>
          <w:numId w:val="230"/>
        </w:numPr>
        <w:rPr>
          <w:rFonts w:ascii="Arial" w:cs="Arial" w:eastAsia="Arial" w:hAnsi="Arial"/>
          <w:sz w:val="20"/>
          <w:szCs w:val="20"/>
          <w:color w:val="auto"/>
        </w:rPr>
      </w:pPr>
      <w:r>
        <w:rPr>
          <w:rFonts w:ascii="Arial" w:cs="Arial" w:eastAsia="Arial" w:hAnsi="Arial"/>
          <w:sz w:val="20"/>
          <w:szCs w:val="20"/>
          <w:color w:val="auto"/>
        </w:rPr>
        <w:t>the ultimate direction of the Company and the issuance of the necessary guidelines in accordance with applicable law and regulations;</w:t>
      </w:r>
    </w:p>
    <w:p>
      <w:pPr>
        <w:spacing w:after="0" w:line="155" w:lineRule="exact"/>
        <w:rPr>
          <w:rFonts w:ascii="Arial" w:cs="Arial" w:eastAsia="Arial" w:hAnsi="Arial"/>
          <w:sz w:val="20"/>
          <w:szCs w:val="20"/>
          <w:color w:val="auto"/>
        </w:rPr>
      </w:pPr>
    </w:p>
    <w:p>
      <w:pPr>
        <w:ind w:left="40" w:right="79" w:firstLine="4"/>
        <w:spacing w:after="0" w:line="257" w:lineRule="auto"/>
        <w:tabs>
          <w:tab w:leader="none" w:pos="1103" w:val="left"/>
        </w:tabs>
        <w:numPr>
          <w:ilvl w:val="0"/>
          <w:numId w:val="230"/>
        </w:numPr>
        <w:rPr>
          <w:rFonts w:ascii="Arial" w:cs="Arial" w:eastAsia="Arial" w:hAnsi="Arial"/>
          <w:sz w:val="20"/>
          <w:szCs w:val="20"/>
          <w:color w:val="auto"/>
        </w:rPr>
      </w:pPr>
      <w:r>
        <w:rPr>
          <w:rFonts w:ascii="Arial" w:cs="Arial" w:eastAsia="Arial" w:hAnsi="Arial"/>
          <w:sz w:val="20"/>
          <w:szCs w:val="20"/>
          <w:color w:val="auto"/>
        </w:rPr>
        <w:t>the determination of the Company's organizational structure, including the promulgation and the amendment of these Organizational Regulations;</w:t>
      </w:r>
    </w:p>
    <w:p>
      <w:pPr>
        <w:spacing w:after="0" w:line="155" w:lineRule="exact"/>
        <w:rPr>
          <w:rFonts w:ascii="Arial" w:cs="Arial" w:eastAsia="Arial" w:hAnsi="Arial"/>
          <w:sz w:val="20"/>
          <w:szCs w:val="20"/>
          <w:color w:val="auto"/>
        </w:rPr>
      </w:pPr>
    </w:p>
    <w:p>
      <w:pPr>
        <w:ind w:left="1100" w:hanging="1056"/>
        <w:spacing w:after="0"/>
        <w:tabs>
          <w:tab w:leader="none" w:pos="1100" w:val="left"/>
        </w:tabs>
        <w:numPr>
          <w:ilvl w:val="0"/>
          <w:numId w:val="230"/>
        </w:numPr>
        <w:rPr>
          <w:rFonts w:ascii="Arial" w:cs="Arial" w:eastAsia="Arial" w:hAnsi="Arial"/>
          <w:sz w:val="20"/>
          <w:szCs w:val="20"/>
          <w:color w:val="auto"/>
        </w:rPr>
      </w:pPr>
      <w:r>
        <w:rPr>
          <w:rFonts w:ascii="Arial" w:cs="Arial" w:eastAsia="Arial" w:hAnsi="Arial"/>
          <w:sz w:val="20"/>
          <w:szCs w:val="20"/>
          <w:color w:val="auto"/>
        </w:rPr>
        <w:t>the determination of the Company's accounting principles, financial control and financial</w:t>
      </w:r>
    </w:p>
    <w:p>
      <w:pPr>
        <w:spacing w:after="0" w:line="4" w:lineRule="exact"/>
        <w:rPr>
          <w:rFonts w:ascii="Arial" w:cs="Arial" w:eastAsia="Arial" w:hAnsi="Arial"/>
          <w:sz w:val="20"/>
          <w:szCs w:val="20"/>
          <w:color w:val="auto"/>
        </w:rPr>
      </w:pPr>
    </w:p>
    <w:p>
      <w:pPr>
        <w:ind w:left="40"/>
        <w:spacing w:after="0"/>
        <w:rPr>
          <w:rFonts w:ascii="Arial" w:cs="Arial" w:eastAsia="Arial" w:hAnsi="Arial"/>
          <w:sz w:val="20"/>
          <w:szCs w:val="20"/>
          <w:color w:val="auto"/>
        </w:rPr>
      </w:pPr>
      <w:r>
        <w:rPr>
          <w:rFonts w:ascii="Arial" w:cs="Arial" w:eastAsia="Arial" w:hAnsi="Arial"/>
          <w:sz w:val="20"/>
          <w:szCs w:val="20"/>
          <w:color w:val="auto"/>
        </w:rPr>
        <w:t>planning;</w:t>
      </w:r>
    </w:p>
    <w:p>
      <w:pPr>
        <w:spacing w:after="0" w:line="184" w:lineRule="exact"/>
        <w:rPr>
          <w:rFonts w:ascii="Arial" w:cs="Arial" w:eastAsia="Arial" w:hAnsi="Arial"/>
          <w:sz w:val="20"/>
          <w:szCs w:val="20"/>
          <w:color w:val="auto"/>
        </w:rPr>
      </w:pPr>
    </w:p>
    <w:p>
      <w:pPr>
        <w:jc w:val="both"/>
        <w:ind w:left="40" w:right="79" w:firstLine="4"/>
        <w:spacing w:after="0" w:line="241" w:lineRule="auto"/>
        <w:tabs>
          <w:tab w:leader="none" w:pos="1103" w:val="left"/>
        </w:tabs>
        <w:numPr>
          <w:ilvl w:val="0"/>
          <w:numId w:val="230"/>
        </w:numPr>
        <w:rPr>
          <w:rFonts w:ascii="Arial" w:cs="Arial" w:eastAsia="Arial" w:hAnsi="Arial"/>
          <w:sz w:val="20"/>
          <w:szCs w:val="20"/>
          <w:color w:val="auto"/>
        </w:rPr>
      </w:pPr>
      <w:r>
        <w:rPr>
          <w:rFonts w:ascii="Arial" w:cs="Arial" w:eastAsia="Arial" w:hAnsi="Arial"/>
          <w:sz w:val="20"/>
          <w:szCs w:val="20"/>
          <w:color w:val="auto"/>
        </w:rPr>
        <w:t>the ultimate supervision of the persons entrusted with the management of the Company, in particular with regard to their compliance with applicable law, the Articles of Association, these Organizational Regulations and other applicable instructions and guidelines;</w:t>
      </w:r>
    </w:p>
    <w:p>
      <w:pPr>
        <w:spacing w:after="0" w:line="171" w:lineRule="exact"/>
        <w:rPr>
          <w:rFonts w:ascii="Arial" w:cs="Arial" w:eastAsia="Arial" w:hAnsi="Arial"/>
          <w:sz w:val="20"/>
          <w:szCs w:val="20"/>
          <w:color w:val="auto"/>
        </w:rPr>
      </w:pPr>
    </w:p>
    <w:p>
      <w:pPr>
        <w:jc w:val="both"/>
        <w:ind w:left="40" w:right="79" w:firstLine="4"/>
        <w:spacing w:after="0" w:line="237" w:lineRule="auto"/>
        <w:tabs>
          <w:tab w:leader="none" w:pos="1103" w:val="left"/>
        </w:tabs>
        <w:numPr>
          <w:ilvl w:val="0"/>
          <w:numId w:val="230"/>
        </w:numPr>
        <w:rPr>
          <w:rFonts w:ascii="Arial" w:cs="Arial" w:eastAsia="Arial" w:hAnsi="Arial"/>
          <w:sz w:val="20"/>
          <w:szCs w:val="20"/>
          <w:color w:val="auto"/>
        </w:rPr>
      </w:pPr>
      <w:r>
        <w:rPr>
          <w:rFonts w:ascii="Arial" w:cs="Arial" w:eastAsia="Arial" w:hAnsi="Arial"/>
          <w:sz w:val="20"/>
          <w:szCs w:val="20"/>
          <w:color w:val="auto"/>
        </w:rPr>
        <w:t>the review and approval of the management report and the financial statements of the Company as well as the preparation of the General Meeting of Shareholders, the agenda thereof, the proposals for which shareholder approval or ratification is sought, and the implementation of its resolutions;</w:t>
      </w:r>
    </w:p>
    <w:p>
      <w:pPr>
        <w:spacing w:after="0" w:line="171" w:lineRule="exact"/>
        <w:rPr>
          <w:rFonts w:ascii="Arial" w:cs="Arial" w:eastAsia="Arial" w:hAnsi="Arial"/>
          <w:sz w:val="20"/>
          <w:szCs w:val="20"/>
          <w:color w:val="auto"/>
        </w:rPr>
      </w:pPr>
    </w:p>
    <w:p>
      <w:pPr>
        <w:jc w:val="both"/>
        <w:ind w:left="40" w:right="79" w:firstLine="4"/>
        <w:spacing w:after="0" w:line="237" w:lineRule="auto"/>
        <w:tabs>
          <w:tab w:leader="none" w:pos="1103" w:val="left"/>
        </w:tabs>
        <w:numPr>
          <w:ilvl w:val="0"/>
          <w:numId w:val="230"/>
        </w:numPr>
        <w:rPr>
          <w:rFonts w:ascii="Arial" w:cs="Arial" w:eastAsia="Arial" w:hAnsi="Arial"/>
          <w:sz w:val="20"/>
          <w:szCs w:val="20"/>
          <w:color w:val="auto"/>
        </w:rPr>
      </w:pPr>
      <w:r>
        <w:rPr>
          <w:rFonts w:ascii="Arial" w:cs="Arial" w:eastAsia="Arial" w:hAnsi="Arial"/>
          <w:sz w:val="20"/>
          <w:szCs w:val="20"/>
          <w:color w:val="auto"/>
        </w:rPr>
        <w:t>the adoption of resolutions concerning an increase in the share capital of the Company to the extent that such power is vested in the Board (article 651 para. 4 CO) and of resolutions concerning the confirmation of capital increases and corresponding amendments to the Articles of Association, as well as making the required report on the capital increase;</w:t>
      </w:r>
    </w:p>
    <w:p>
      <w:pPr>
        <w:spacing w:after="0" w:line="171" w:lineRule="exact"/>
        <w:rPr>
          <w:rFonts w:ascii="Arial" w:cs="Arial" w:eastAsia="Arial" w:hAnsi="Arial"/>
          <w:sz w:val="20"/>
          <w:szCs w:val="20"/>
          <w:color w:val="auto"/>
        </w:rPr>
      </w:pPr>
    </w:p>
    <w:p>
      <w:pPr>
        <w:ind w:left="40" w:right="79" w:firstLine="4"/>
        <w:spacing w:after="0" w:line="257" w:lineRule="auto"/>
        <w:tabs>
          <w:tab w:leader="none" w:pos="1103" w:val="left"/>
        </w:tabs>
        <w:numPr>
          <w:ilvl w:val="0"/>
          <w:numId w:val="230"/>
        </w:numPr>
        <w:rPr>
          <w:rFonts w:ascii="Arial" w:cs="Arial" w:eastAsia="Arial" w:hAnsi="Arial"/>
          <w:sz w:val="20"/>
          <w:szCs w:val="20"/>
          <w:color w:val="auto"/>
        </w:rPr>
      </w:pPr>
      <w:r>
        <w:rPr>
          <w:rFonts w:ascii="Arial" w:cs="Arial" w:eastAsia="Arial" w:hAnsi="Arial"/>
          <w:sz w:val="20"/>
          <w:szCs w:val="20"/>
          <w:color w:val="auto"/>
        </w:rPr>
        <w:t>the notification of the court if the liabilities of the Company exceed the assets of the Company (article 725 CO);</w:t>
      </w:r>
    </w:p>
    <w:p>
      <w:pPr>
        <w:spacing w:after="0" w:line="155" w:lineRule="exact"/>
        <w:rPr>
          <w:rFonts w:ascii="Arial" w:cs="Arial" w:eastAsia="Arial" w:hAnsi="Arial"/>
          <w:sz w:val="20"/>
          <w:szCs w:val="20"/>
          <w:color w:val="auto"/>
        </w:rPr>
      </w:pPr>
    </w:p>
    <w:p>
      <w:pPr>
        <w:ind w:left="1100" w:hanging="1056"/>
        <w:spacing w:after="0"/>
        <w:tabs>
          <w:tab w:leader="none" w:pos="1100" w:val="left"/>
        </w:tabs>
        <w:numPr>
          <w:ilvl w:val="0"/>
          <w:numId w:val="230"/>
        </w:numPr>
        <w:rPr>
          <w:rFonts w:ascii="Arial" w:cs="Arial" w:eastAsia="Arial" w:hAnsi="Arial"/>
          <w:sz w:val="20"/>
          <w:szCs w:val="20"/>
          <w:color w:val="auto"/>
        </w:rPr>
      </w:pPr>
      <w:r>
        <w:rPr>
          <w:rFonts w:ascii="Arial" w:cs="Arial" w:eastAsia="Arial" w:hAnsi="Arial"/>
          <w:sz w:val="20"/>
          <w:szCs w:val="20"/>
          <w:color w:val="auto"/>
        </w:rPr>
        <w:t>the establishment of the Company's dividend policy;</w:t>
      </w:r>
    </w:p>
    <w:p>
      <w:pPr>
        <w:spacing w:after="0" w:line="202" w:lineRule="exact"/>
        <w:rPr>
          <w:rFonts w:ascii="Arial" w:cs="Arial" w:eastAsia="Arial" w:hAnsi="Arial"/>
          <w:sz w:val="20"/>
          <w:szCs w:val="20"/>
          <w:color w:val="auto"/>
        </w:rPr>
      </w:pPr>
    </w:p>
    <w:p>
      <w:pPr>
        <w:jc w:val="both"/>
        <w:ind w:left="40" w:right="79" w:firstLine="4"/>
        <w:spacing w:after="0" w:line="241" w:lineRule="auto"/>
        <w:tabs>
          <w:tab w:leader="none" w:pos="1103" w:val="left"/>
        </w:tabs>
        <w:numPr>
          <w:ilvl w:val="0"/>
          <w:numId w:val="230"/>
        </w:numPr>
        <w:rPr>
          <w:rFonts w:ascii="Arial" w:cs="Arial" w:eastAsia="Arial" w:hAnsi="Arial"/>
          <w:sz w:val="20"/>
          <w:szCs w:val="20"/>
          <w:color w:val="auto"/>
        </w:rPr>
      </w:pPr>
      <w:r>
        <w:rPr>
          <w:rFonts w:ascii="Arial" w:cs="Arial" w:eastAsia="Arial" w:hAnsi="Arial"/>
          <w:sz w:val="20"/>
          <w:szCs w:val="20"/>
          <w:color w:val="auto"/>
        </w:rPr>
        <w:t>the proposal to the General Meeting of Shareholders of candidates for election or re-election to the Board as members of the Board, as Chairperson or as members of the Compensation Committee, upon recommendation of the Governance, Safety &amp; Environment Committee;</w:t>
      </w:r>
    </w:p>
    <w:p>
      <w:pPr>
        <w:spacing w:after="0" w:line="171" w:lineRule="exact"/>
        <w:rPr>
          <w:rFonts w:ascii="Arial" w:cs="Arial" w:eastAsia="Arial" w:hAnsi="Arial"/>
          <w:sz w:val="20"/>
          <w:szCs w:val="20"/>
          <w:color w:val="auto"/>
        </w:rPr>
      </w:pPr>
    </w:p>
    <w:p>
      <w:pPr>
        <w:ind w:left="1100" w:hanging="1056"/>
        <w:spacing w:after="0"/>
        <w:tabs>
          <w:tab w:leader="none" w:pos="1100" w:val="left"/>
        </w:tabs>
        <w:numPr>
          <w:ilvl w:val="0"/>
          <w:numId w:val="230"/>
        </w:numPr>
        <w:rPr>
          <w:rFonts w:ascii="Arial" w:cs="Arial" w:eastAsia="Arial" w:hAnsi="Arial"/>
          <w:sz w:val="20"/>
          <w:szCs w:val="20"/>
          <w:color w:val="auto"/>
        </w:rPr>
      </w:pPr>
      <w:r>
        <w:rPr>
          <w:rFonts w:ascii="Arial" w:cs="Arial" w:eastAsia="Arial" w:hAnsi="Arial"/>
          <w:sz w:val="20"/>
          <w:szCs w:val="20"/>
          <w:color w:val="auto"/>
        </w:rPr>
        <w:t>the response to any takeover offer for the Company;</w:t>
      </w:r>
    </w:p>
    <w:p>
      <w:pPr>
        <w:spacing w:after="0" w:line="202" w:lineRule="exact"/>
        <w:rPr>
          <w:rFonts w:ascii="Arial" w:cs="Arial" w:eastAsia="Arial" w:hAnsi="Arial"/>
          <w:sz w:val="20"/>
          <w:szCs w:val="20"/>
          <w:color w:val="auto"/>
        </w:rPr>
      </w:pPr>
    </w:p>
    <w:p>
      <w:pPr>
        <w:ind w:left="1100" w:hanging="1056"/>
        <w:spacing w:after="0"/>
        <w:tabs>
          <w:tab w:leader="none" w:pos="1100" w:val="left"/>
        </w:tabs>
        <w:numPr>
          <w:ilvl w:val="0"/>
          <w:numId w:val="230"/>
        </w:numPr>
        <w:rPr>
          <w:rFonts w:ascii="Arial" w:cs="Arial" w:eastAsia="Arial" w:hAnsi="Arial"/>
          <w:sz w:val="20"/>
          <w:szCs w:val="20"/>
          <w:color w:val="auto"/>
        </w:rPr>
      </w:pPr>
      <w:r>
        <w:rPr>
          <w:rFonts w:ascii="Arial" w:cs="Arial" w:eastAsia="Arial" w:hAnsi="Arial"/>
          <w:sz w:val="20"/>
          <w:szCs w:val="20"/>
          <w:color w:val="auto"/>
        </w:rPr>
        <w:t>the establishment of any code of ethics and business practice;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639445</wp:posOffset>
            </wp:positionV>
            <wp:extent cx="5648960" cy="2603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5648960" cy="26035"/>
                    </a:xfrm>
                    <a:prstGeom prst="rect">
                      <a:avLst/>
                    </a:prstGeom>
                    <a:noFill/>
                  </pic:spPr>
                </pic:pic>
              </a:graphicData>
            </a:graphic>
          </wp:anchor>
        </w:drawing>
      </w:r>
    </w:p>
    <w:p>
      <w:pPr>
        <w:sectPr>
          <w:pgSz w:w="11900" w:h="16838" w:orient="portrait"/>
          <w:cols w:equalWidth="0" w:num="1">
            <w:col w:w="9019"/>
          </w:cols>
          <w:pgMar w:left="1440" w:top="670" w:right="1440" w:bottom="1440" w:gutter="0" w:footer="0" w:header="0"/>
        </w:sectPr>
      </w:pPr>
    </w:p>
    <w:bookmarkStart w:id="68" w:name="page69"/>
    <w:bookmarkEnd w:id="68"/>
    <w:p>
      <w:pPr>
        <w:jc w:val="right"/>
        <w:ind w:right="79"/>
        <w:spacing w:after="0"/>
        <w:rPr>
          <w:sz w:val="20"/>
          <w:szCs w:val="20"/>
          <w:color w:val="auto"/>
        </w:rPr>
      </w:pPr>
      <w:r>
        <w:rPr>
          <w:rFonts w:ascii="Arial" w:cs="Arial" w:eastAsia="Arial" w:hAnsi="Arial"/>
          <w:sz w:val="14"/>
          <w:szCs w:val="14"/>
          <w:color w:val="auto"/>
        </w:rPr>
        <w:t>5</w:t>
      </w:r>
    </w:p>
    <w:p>
      <w:pPr>
        <w:spacing w:after="0" w:line="205" w:lineRule="exact"/>
        <w:rPr>
          <w:sz w:val="20"/>
          <w:szCs w:val="20"/>
          <w:color w:val="auto"/>
        </w:rPr>
      </w:pPr>
    </w:p>
    <w:p>
      <w:pPr>
        <w:ind w:left="40" w:right="79" w:firstLine="4"/>
        <w:spacing w:after="0" w:line="257" w:lineRule="auto"/>
        <w:tabs>
          <w:tab w:leader="none" w:pos="1103" w:val="left"/>
        </w:tabs>
        <w:numPr>
          <w:ilvl w:val="0"/>
          <w:numId w:val="231"/>
        </w:numPr>
        <w:rPr>
          <w:rFonts w:ascii="Arial" w:cs="Arial" w:eastAsia="Arial" w:hAnsi="Arial"/>
          <w:sz w:val="20"/>
          <w:szCs w:val="20"/>
          <w:color w:val="auto"/>
        </w:rPr>
      </w:pPr>
      <w:r>
        <w:rPr>
          <w:rFonts w:ascii="Arial" w:cs="Arial" w:eastAsia="Arial" w:hAnsi="Arial"/>
          <w:sz w:val="20"/>
          <w:szCs w:val="20"/>
          <w:color w:val="auto"/>
        </w:rPr>
        <w:t>the determination of any membership and terms of reference of any Board Committees (other than the Compensation Committee);</w:t>
      </w:r>
    </w:p>
    <w:p>
      <w:pPr>
        <w:spacing w:after="0" w:line="155" w:lineRule="exact"/>
        <w:rPr>
          <w:rFonts w:ascii="Arial" w:cs="Arial" w:eastAsia="Arial" w:hAnsi="Arial"/>
          <w:sz w:val="20"/>
          <w:szCs w:val="20"/>
          <w:color w:val="auto"/>
        </w:rPr>
      </w:pPr>
    </w:p>
    <w:p>
      <w:pPr>
        <w:jc w:val="both"/>
        <w:ind w:left="40" w:right="79" w:firstLine="4"/>
        <w:spacing w:after="0" w:line="241" w:lineRule="auto"/>
        <w:tabs>
          <w:tab w:leader="none" w:pos="1103" w:val="left"/>
        </w:tabs>
        <w:numPr>
          <w:ilvl w:val="0"/>
          <w:numId w:val="231"/>
        </w:numPr>
        <w:rPr>
          <w:rFonts w:ascii="Arial" w:cs="Arial" w:eastAsia="Arial" w:hAnsi="Arial"/>
          <w:sz w:val="20"/>
          <w:szCs w:val="20"/>
          <w:color w:val="auto"/>
        </w:rPr>
      </w:pPr>
      <w:r>
        <w:rPr>
          <w:rFonts w:ascii="Arial" w:cs="Arial" w:eastAsia="Arial" w:hAnsi="Arial"/>
          <w:sz w:val="20"/>
          <w:szCs w:val="20"/>
          <w:color w:val="auto"/>
        </w:rPr>
        <w:t>the approval of any agreements to which the Company is a party relating to mergers, demergers, transformations and/or transfer of assets, to the extent required pursuant to the Swiss Merger Act;</w:t>
      </w:r>
    </w:p>
    <w:p>
      <w:pPr>
        <w:spacing w:after="0" w:line="171" w:lineRule="exact"/>
        <w:rPr>
          <w:rFonts w:ascii="Arial" w:cs="Arial" w:eastAsia="Arial" w:hAnsi="Arial"/>
          <w:sz w:val="20"/>
          <w:szCs w:val="20"/>
          <w:color w:val="auto"/>
        </w:rPr>
      </w:pPr>
    </w:p>
    <w:p>
      <w:pPr>
        <w:jc w:val="both"/>
        <w:ind w:left="40" w:right="79" w:firstLine="4"/>
        <w:spacing w:after="0" w:line="241" w:lineRule="auto"/>
        <w:tabs>
          <w:tab w:leader="none" w:pos="1103" w:val="left"/>
        </w:tabs>
        <w:numPr>
          <w:ilvl w:val="0"/>
          <w:numId w:val="231"/>
        </w:numPr>
        <w:rPr>
          <w:rFonts w:ascii="Arial" w:cs="Arial" w:eastAsia="Arial" w:hAnsi="Arial"/>
          <w:sz w:val="20"/>
          <w:szCs w:val="20"/>
          <w:color w:val="auto"/>
        </w:rPr>
      </w:pPr>
      <w:r>
        <w:rPr>
          <w:rFonts w:ascii="Arial" w:cs="Arial" w:eastAsia="Arial" w:hAnsi="Arial"/>
          <w:sz w:val="20"/>
          <w:szCs w:val="20"/>
          <w:color w:val="auto"/>
        </w:rPr>
        <w:t>the appointment and removal of the Secretary, the members of Board Committees (subject to the rights of shareholders in relation to the Compensation Committee) and the Executive Management Team, as well as the determination of their signatory power (see Section 10.01);</w:t>
      </w:r>
    </w:p>
    <w:p>
      <w:pPr>
        <w:spacing w:after="0" w:line="117" w:lineRule="exact"/>
        <w:rPr>
          <w:rFonts w:ascii="Arial" w:cs="Arial" w:eastAsia="Arial" w:hAnsi="Arial"/>
          <w:sz w:val="20"/>
          <w:szCs w:val="20"/>
          <w:color w:val="auto"/>
        </w:rPr>
      </w:pPr>
    </w:p>
    <w:p>
      <w:pPr>
        <w:ind w:left="1100" w:hanging="1056"/>
        <w:spacing w:after="0"/>
        <w:tabs>
          <w:tab w:leader="none" w:pos="1100" w:val="left"/>
        </w:tabs>
        <w:numPr>
          <w:ilvl w:val="0"/>
          <w:numId w:val="231"/>
        </w:numPr>
        <w:rPr>
          <w:rFonts w:ascii="Arial" w:cs="Arial" w:eastAsia="Arial" w:hAnsi="Arial"/>
          <w:sz w:val="20"/>
          <w:szCs w:val="20"/>
          <w:color w:val="auto"/>
        </w:rPr>
      </w:pPr>
      <w:r>
        <w:rPr>
          <w:rFonts w:ascii="Arial" w:cs="Arial" w:eastAsia="Arial" w:hAnsi="Arial"/>
          <w:sz w:val="20"/>
          <w:szCs w:val="20"/>
          <w:color w:val="auto"/>
        </w:rPr>
        <w:t>the approval of the annual investment and operating budget; and</w:t>
      </w:r>
    </w:p>
    <w:p>
      <w:pPr>
        <w:spacing w:after="0" w:line="148" w:lineRule="exact"/>
        <w:rPr>
          <w:rFonts w:ascii="Arial" w:cs="Arial" w:eastAsia="Arial" w:hAnsi="Arial"/>
          <w:sz w:val="20"/>
          <w:szCs w:val="20"/>
          <w:color w:val="auto"/>
        </w:rPr>
      </w:pPr>
    </w:p>
    <w:p>
      <w:pPr>
        <w:ind w:left="1100" w:hanging="1056"/>
        <w:spacing w:after="0"/>
        <w:tabs>
          <w:tab w:leader="none" w:pos="1100" w:val="left"/>
        </w:tabs>
        <w:numPr>
          <w:ilvl w:val="0"/>
          <w:numId w:val="231"/>
        </w:numPr>
        <w:rPr>
          <w:rFonts w:ascii="Arial" w:cs="Arial" w:eastAsia="Arial" w:hAnsi="Arial"/>
          <w:sz w:val="20"/>
          <w:szCs w:val="20"/>
          <w:color w:val="auto"/>
        </w:rPr>
      </w:pPr>
      <w:r>
        <w:rPr>
          <w:rFonts w:ascii="Arial" w:cs="Arial" w:eastAsia="Arial" w:hAnsi="Arial"/>
          <w:sz w:val="20"/>
          <w:szCs w:val="20"/>
          <w:color w:val="auto"/>
        </w:rPr>
        <w:t>the approval of share buybacks of the Company.</w:t>
      </w:r>
    </w:p>
    <w:p>
      <w:pPr>
        <w:spacing w:after="0" w:line="148" w:lineRule="exact"/>
        <w:rPr>
          <w:sz w:val="20"/>
          <w:szCs w:val="20"/>
          <w:color w:val="auto"/>
        </w:rPr>
      </w:pPr>
    </w:p>
    <w:p>
      <w:pPr>
        <w:ind w:left="160" w:right="159" w:firstLine="648"/>
        <w:spacing w:after="0" w:line="234" w:lineRule="auto"/>
        <w:rPr>
          <w:sz w:val="20"/>
          <w:szCs w:val="20"/>
          <w:color w:val="auto"/>
        </w:rPr>
      </w:pPr>
      <w:r>
        <w:rPr>
          <w:rFonts w:ascii="Arial" w:cs="Arial" w:eastAsia="Arial" w:hAnsi="Arial"/>
          <w:sz w:val="20"/>
          <w:szCs w:val="20"/>
          <w:color w:val="auto"/>
        </w:rPr>
        <w:t xml:space="preserve">Section 3.04. </w:t>
      </w:r>
      <w:r>
        <w:rPr>
          <w:rFonts w:ascii="Arial" w:cs="Arial" w:eastAsia="Arial" w:hAnsi="Arial"/>
          <w:sz w:val="20"/>
          <w:szCs w:val="20"/>
          <w:i w:val="1"/>
          <w:iCs w:val="1"/>
          <w:color w:val="auto"/>
        </w:rPr>
        <w:t>Delegation of Management.</w:t>
      </w:r>
      <w:r>
        <w:rPr>
          <w:rFonts w:ascii="Arial" w:cs="Arial" w:eastAsia="Arial" w:hAnsi="Arial"/>
          <w:sz w:val="20"/>
          <w:szCs w:val="20"/>
          <w:color w:val="auto"/>
        </w:rPr>
        <w:t xml:space="preserve"> To the extent permitted by applicable law and stock exchange rules, the Board herewith delegates, in the sense of article 716b CO, all other duties, including the preparation and implementation of the Board resolutions as well as the supervision of particular aspects of the business and the management­ of the Company, to the Chief Executive Officer.</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20"/>
          <w:szCs w:val="20"/>
          <w:color w:val="auto"/>
        </w:rPr>
        <w:t xml:space="preserve">Section 3.05. </w:t>
      </w:r>
      <w:r>
        <w:rPr>
          <w:rFonts w:ascii="Arial" w:cs="Arial" w:eastAsia="Arial" w:hAnsi="Arial"/>
          <w:sz w:val="20"/>
          <w:szCs w:val="20"/>
          <w:i w:val="1"/>
          <w:iCs w:val="1"/>
          <w:color w:val="auto"/>
        </w:rPr>
        <w:t>Meetings.</w:t>
      </w:r>
    </w:p>
    <w:p>
      <w:pPr>
        <w:spacing w:after="0" w:line="148" w:lineRule="exact"/>
        <w:rPr>
          <w:sz w:val="20"/>
          <w:szCs w:val="20"/>
          <w:color w:val="auto"/>
        </w:rPr>
      </w:pPr>
    </w:p>
    <w:p>
      <w:pPr>
        <w:jc w:val="both"/>
        <w:ind w:left="40" w:right="79" w:firstLine="652"/>
        <w:spacing w:after="0" w:line="241" w:lineRule="auto"/>
        <w:tabs>
          <w:tab w:leader="none" w:pos="1336" w:val="left"/>
        </w:tabs>
        <w:numPr>
          <w:ilvl w:val="0"/>
          <w:numId w:val="232"/>
        </w:numPr>
        <w:rPr>
          <w:rFonts w:ascii="Arial" w:cs="Arial" w:eastAsia="Arial" w:hAnsi="Arial"/>
          <w:sz w:val="20"/>
          <w:szCs w:val="20"/>
          <w:color w:val="auto"/>
        </w:rPr>
      </w:pPr>
      <w:r>
        <w:rPr>
          <w:rFonts w:ascii="Arial" w:cs="Arial" w:eastAsia="Arial" w:hAnsi="Arial"/>
          <w:sz w:val="20"/>
          <w:szCs w:val="20"/>
          <w:color w:val="auto"/>
        </w:rPr>
        <w:t>The Board shall meet together for the dispatch of business, convening, adjourning and otherwise regulating its meetings as it thinks fit. The Board shall give due consideration to the governance framework set forth in the Corporate Governance Guidelines of the Company.</w:t>
      </w:r>
    </w:p>
    <w:p>
      <w:pPr>
        <w:spacing w:after="0" w:line="117" w:lineRule="exact"/>
        <w:rPr>
          <w:rFonts w:ascii="Arial" w:cs="Arial" w:eastAsia="Arial" w:hAnsi="Arial"/>
          <w:sz w:val="20"/>
          <w:szCs w:val="20"/>
          <w:color w:val="auto"/>
        </w:rPr>
      </w:pPr>
    </w:p>
    <w:p>
      <w:pPr>
        <w:jc w:val="both"/>
        <w:ind w:left="40" w:right="79" w:firstLine="652"/>
        <w:spacing w:after="0" w:line="231" w:lineRule="auto"/>
        <w:tabs>
          <w:tab w:leader="none" w:pos="1336" w:val="left"/>
        </w:tabs>
        <w:numPr>
          <w:ilvl w:val="0"/>
          <w:numId w:val="232"/>
        </w:numPr>
        <w:rPr>
          <w:rFonts w:ascii="Arial" w:cs="Arial" w:eastAsia="Arial" w:hAnsi="Arial"/>
          <w:sz w:val="20"/>
          <w:szCs w:val="20"/>
          <w:color w:val="auto"/>
        </w:rPr>
      </w:pPr>
      <w:r>
        <w:rPr>
          <w:rFonts w:ascii="Arial" w:cs="Arial" w:eastAsia="Arial" w:hAnsi="Arial"/>
          <w:sz w:val="20"/>
          <w:szCs w:val="20"/>
          <w:color w:val="auto"/>
        </w:rPr>
        <w:t>Regularly scheduled meetings of the Board may be held at such time and at such place as shall from time to time be determined by the Board. Special meetings of the Board may be called by the Chairperson, the Chief Executive Officer, the President, the Corporate Secretary or a majority of the Board. Any member of the Board may request that the Chairperson (or absent the Chairperson, the following persons, in the following order: the Chief Executive Officer, the President or the Corporate Secretary) convene a meeting as soon as practicable, subject to providing a reason for so requesting a meeting. In addition, the Lead Independent Director shall have the authority to call meetings of the non-management Directors.</w:t>
      </w:r>
    </w:p>
    <w:p>
      <w:pPr>
        <w:spacing w:after="0" w:line="119" w:lineRule="exact"/>
        <w:rPr>
          <w:rFonts w:ascii="Arial" w:cs="Arial" w:eastAsia="Arial" w:hAnsi="Arial"/>
          <w:sz w:val="20"/>
          <w:szCs w:val="20"/>
          <w:color w:val="auto"/>
        </w:rPr>
      </w:pPr>
    </w:p>
    <w:p>
      <w:pPr>
        <w:jc w:val="both"/>
        <w:ind w:left="40" w:right="79" w:firstLine="652"/>
        <w:spacing w:after="0" w:line="232" w:lineRule="auto"/>
        <w:tabs>
          <w:tab w:leader="none" w:pos="1336" w:val="left"/>
        </w:tabs>
        <w:numPr>
          <w:ilvl w:val="0"/>
          <w:numId w:val="232"/>
        </w:numPr>
        <w:rPr>
          <w:rFonts w:ascii="Arial" w:cs="Arial" w:eastAsia="Arial" w:hAnsi="Arial"/>
          <w:sz w:val="20"/>
          <w:szCs w:val="20"/>
          <w:color w:val="auto"/>
        </w:rPr>
      </w:pPr>
      <w:r>
        <w:rPr>
          <w:rFonts w:ascii="Arial" w:cs="Arial" w:eastAsia="Arial" w:hAnsi="Arial"/>
          <w:sz w:val="20"/>
          <w:szCs w:val="20"/>
          <w:color w:val="auto"/>
        </w:rPr>
        <w:t>No notice need be given of any regular meeting of the Board or of any adjourned meeting of the Board. No notice need be given to any Director who signs a written waiver thereof or who attends the meeting without protesting the lack of notice. Notices need not state the purpose of the meeting. Attendance of a Director at any meeting shall constitute a waiver of notice of such meeting, except when a Director attends and makes it known that he is attending for the express purpose of objecting to the transaction of any business on the grounds that the meeting is not lawfully convened, and such purpose is duly recorded in the minutes of such meeting.</w:t>
      </w:r>
    </w:p>
    <w:p>
      <w:pPr>
        <w:spacing w:after="0" w:line="171" w:lineRule="exact"/>
        <w:rPr>
          <w:rFonts w:ascii="Arial" w:cs="Arial" w:eastAsia="Arial" w:hAnsi="Arial"/>
          <w:sz w:val="20"/>
          <w:szCs w:val="20"/>
          <w:color w:val="auto"/>
        </w:rPr>
      </w:pPr>
    </w:p>
    <w:p>
      <w:pPr>
        <w:jc w:val="both"/>
        <w:ind w:left="40" w:right="79" w:firstLine="652"/>
        <w:spacing w:after="0" w:line="230" w:lineRule="auto"/>
        <w:tabs>
          <w:tab w:leader="none" w:pos="1336" w:val="left"/>
        </w:tabs>
        <w:numPr>
          <w:ilvl w:val="0"/>
          <w:numId w:val="232"/>
        </w:numPr>
        <w:rPr>
          <w:rFonts w:ascii="Arial" w:cs="Arial" w:eastAsia="Arial" w:hAnsi="Arial"/>
          <w:sz w:val="20"/>
          <w:szCs w:val="20"/>
          <w:color w:val="auto"/>
        </w:rPr>
      </w:pPr>
      <w:r>
        <w:rPr>
          <w:rFonts w:ascii="Arial" w:cs="Arial" w:eastAsia="Arial" w:hAnsi="Arial"/>
          <w:sz w:val="20"/>
          <w:szCs w:val="20"/>
          <w:color w:val="auto"/>
        </w:rPr>
        <w:t>Notice of each special meeting of the Board shall be given to each Director either by first class United States mail, or if notice is sent off from a country other than the United States of America, by a mail service equivalent to first class United States mail, at least three days before the meeting, by "overnight" or other express delivery service at least two days before the meeting, or by telegram, telex, cable, telecopy, facsimile, personal written delivery, e-mail or telephone at least one day before the meeting or on such shorter notice as the person calling such meeting may deem necessary or appropriate and which is reasonable in the circumstances. Any notice given by telephone shall be immediately confirmed by telegram, telex, cable, telecopy, facsimile, or e-mail. Notices are deemed to have been given: by mail, when deposited in the mail with postage prepaid;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622935</wp:posOffset>
            </wp:positionV>
            <wp:extent cx="5648960" cy="2603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5648960" cy="26035"/>
                    </a:xfrm>
                    <a:prstGeom prst="rect">
                      <a:avLst/>
                    </a:prstGeom>
                    <a:noFill/>
                  </pic:spPr>
                </pic:pic>
              </a:graphicData>
            </a:graphic>
          </wp:anchor>
        </w:drawing>
      </w:r>
    </w:p>
    <w:p>
      <w:pPr>
        <w:sectPr>
          <w:pgSz w:w="11900" w:h="16838" w:orient="portrait"/>
          <w:cols w:equalWidth="0" w:num="1">
            <w:col w:w="9019"/>
          </w:cols>
          <w:pgMar w:left="1440" w:top="670" w:right="1440" w:bottom="1440" w:gutter="0" w:footer="0" w:header="0"/>
        </w:sectPr>
      </w:pPr>
    </w:p>
    <w:bookmarkStart w:id="69" w:name="page70"/>
    <w:bookmarkEnd w:id="69"/>
    <w:p>
      <w:pPr>
        <w:ind w:left="8860"/>
        <w:spacing w:after="0"/>
        <w:rPr>
          <w:sz w:val="20"/>
          <w:szCs w:val="20"/>
          <w:color w:val="auto"/>
        </w:rPr>
      </w:pPr>
      <w:r>
        <w:rPr>
          <w:rFonts w:ascii="Arial" w:cs="Arial" w:eastAsia="Arial" w:hAnsi="Arial"/>
          <w:sz w:val="14"/>
          <w:szCs w:val="14"/>
          <w:color w:val="auto"/>
        </w:rPr>
        <w:t>6</w:t>
      </w:r>
    </w:p>
    <w:p>
      <w:pPr>
        <w:spacing w:after="0" w:line="205" w:lineRule="exact"/>
        <w:rPr>
          <w:sz w:val="20"/>
          <w:szCs w:val="20"/>
          <w:color w:val="auto"/>
        </w:rPr>
      </w:pPr>
    </w:p>
    <w:p>
      <w:pPr>
        <w:jc w:val="both"/>
        <w:ind w:left="40" w:right="79"/>
        <w:spacing w:after="0" w:line="233" w:lineRule="auto"/>
        <w:rPr>
          <w:sz w:val="20"/>
          <w:szCs w:val="20"/>
          <w:color w:val="auto"/>
        </w:rPr>
      </w:pPr>
      <w:r>
        <w:rPr>
          <w:rFonts w:ascii="Arial" w:cs="Arial" w:eastAsia="Arial" w:hAnsi="Arial"/>
          <w:sz w:val="20"/>
          <w:szCs w:val="20"/>
          <w:color w:val="auto"/>
        </w:rPr>
        <w:t>by "overnight" or other express delivery service, the day after sending; by telegram, telex, or cable, at the time of sending; by telecopy or facsimile, upon receipt of a transmittal confirmation; and by personal delivery, e-mail or telephone, at the time of delivery. Written notices shall be sent to a Director at the address or e-mail address designated by such Director for that purpose or, if none has been so designated, at such Director's last known residence, business or e-mail address. Notices need not state the purpose of the meeting.</w:t>
      </w:r>
    </w:p>
    <w:p>
      <w:pPr>
        <w:spacing w:after="0" w:line="172" w:lineRule="exact"/>
        <w:rPr>
          <w:sz w:val="20"/>
          <w:szCs w:val="20"/>
          <w:color w:val="auto"/>
        </w:rPr>
      </w:pPr>
    </w:p>
    <w:p>
      <w:pPr>
        <w:jc w:val="both"/>
        <w:ind w:left="40" w:right="79" w:firstLine="652"/>
        <w:spacing w:after="0" w:line="237" w:lineRule="auto"/>
        <w:tabs>
          <w:tab w:leader="none" w:pos="1336" w:val="left"/>
        </w:tabs>
        <w:numPr>
          <w:ilvl w:val="0"/>
          <w:numId w:val="233"/>
        </w:numPr>
        <w:rPr>
          <w:rFonts w:ascii="Arial" w:cs="Arial" w:eastAsia="Arial" w:hAnsi="Arial"/>
          <w:sz w:val="20"/>
          <w:szCs w:val="20"/>
          <w:color w:val="auto"/>
        </w:rPr>
      </w:pPr>
      <w:r>
        <w:rPr>
          <w:rFonts w:ascii="Arial" w:cs="Arial" w:eastAsia="Arial" w:hAnsi="Arial"/>
          <w:sz w:val="20"/>
          <w:szCs w:val="20"/>
          <w:color w:val="auto"/>
        </w:rPr>
        <w:t>Any one or more Directors or any committee thereof may participate in a meeting of the Board or committee by conference telephone or similar communications equipment by means of which all persons participating in the meeting can hear each other, and participation in a meeting by such means shall constitute presence in person at such meeting.</w:t>
      </w:r>
    </w:p>
    <w:p>
      <w:pPr>
        <w:spacing w:after="0" w:line="172" w:lineRule="exact"/>
        <w:rPr>
          <w:sz w:val="20"/>
          <w:szCs w:val="20"/>
          <w:color w:val="auto"/>
        </w:rPr>
      </w:pPr>
    </w:p>
    <w:p>
      <w:pPr>
        <w:ind w:left="800"/>
        <w:spacing w:after="0"/>
        <w:rPr>
          <w:sz w:val="20"/>
          <w:szCs w:val="20"/>
          <w:color w:val="auto"/>
        </w:rPr>
      </w:pPr>
      <w:r>
        <w:rPr>
          <w:rFonts w:ascii="Arial" w:cs="Arial" w:eastAsia="Arial" w:hAnsi="Arial"/>
          <w:sz w:val="20"/>
          <w:szCs w:val="20"/>
          <w:color w:val="auto"/>
        </w:rPr>
        <w:t xml:space="preserve">Section 3.06. </w:t>
      </w:r>
      <w:r>
        <w:rPr>
          <w:rFonts w:ascii="Arial" w:cs="Arial" w:eastAsia="Arial" w:hAnsi="Arial"/>
          <w:sz w:val="20"/>
          <w:szCs w:val="20"/>
          <w:i w:val="1"/>
          <w:iCs w:val="1"/>
          <w:color w:val="auto"/>
        </w:rPr>
        <w:t>Attendance Quorum; Resolutions and Minutes.</w:t>
      </w:r>
    </w:p>
    <w:p>
      <w:pPr>
        <w:spacing w:after="0" w:line="202" w:lineRule="exact"/>
        <w:rPr>
          <w:sz w:val="20"/>
          <w:szCs w:val="20"/>
          <w:color w:val="auto"/>
        </w:rPr>
      </w:pPr>
    </w:p>
    <w:p>
      <w:pPr>
        <w:jc w:val="both"/>
        <w:ind w:left="40" w:right="79" w:firstLine="652"/>
        <w:spacing w:after="0" w:line="237" w:lineRule="auto"/>
        <w:tabs>
          <w:tab w:leader="none" w:pos="1336" w:val="left"/>
        </w:tabs>
        <w:numPr>
          <w:ilvl w:val="0"/>
          <w:numId w:val="234"/>
        </w:numPr>
        <w:rPr>
          <w:rFonts w:ascii="Arial" w:cs="Arial" w:eastAsia="Arial" w:hAnsi="Arial"/>
          <w:sz w:val="20"/>
          <w:szCs w:val="20"/>
          <w:color w:val="auto"/>
        </w:rPr>
      </w:pPr>
      <w:r>
        <w:rPr>
          <w:rFonts w:ascii="Arial" w:cs="Arial" w:eastAsia="Arial" w:hAnsi="Arial"/>
          <w:sz w:val="20"/>
          <w:szCs w:val="20"/>
          <w:color w:val="auto"/>
        </w:rPr>
        <w:t>Subject to Section 10.02, the attendance quorum necessary for the transaction of the business of the Board shall be a majority of the whole Board. No attendance quorum shall be required for resolutions of the Board which, under mandatory provisions of Swiss law, must be notarized and recorded in a public instrument.</w:t>
      </w:r>
    </w:p>
    <w:p>
      <w:pPr>
        <w:spacing w:after="0" w:line="171" w:lineRule="exact"/>
        <w:rPr>
          <w:rFonts w:ascii="Arial" w:cs="Arial" w:eastAsia="Arial" w:hAnsi="Arial"/>
          <w:sz w:val="20"/>
          <w:szCs w:val="20"/>
          <w:color w:val="auto"/>
        </w:rPr>
      </w:pPr>
    </w:p>
    <w:p>
      <w:pPr>
        <w:jc w:val="both"/>
        <w:ind w:left="40" w:right="79" w:firstLine="652"/>
        <w:spacing w:after="0" w:line="241" w:lineRule="auto"/>
        <w:tabs>
          <w:tab w:leader="none" w:pos="1336" w:val="left"/>
        </w:tabs>
        <w:numPr>
          <w:ilvl w:val="0"/>
          <w:numId w:val="234"/>
        </w:numPr>
        <w:rPr>
          <w:rFonts w:ascii="Arial" w:cs="Arial" w:eastAsia="Arial" w:hAnsi="Arial"/>
          <w:sz w:val="20"/>
          <w:szCs w:val="20"/>
          <w:color w:val="auto"/>
        </w:rPr>
      </w:pPr>
      <w:r>
        <w:rPr>
          <w:rFonts w:ascii="Arial" w:cs="Arial" w:eastAsia="Arial" w:hAnsi="Arial"/>
          <w:sz w:val="20"/>
          <w:szCs w:val="20"/>
          <w:color w:val="auto"/>
        </w:rPr>
        <w:t>The Board shall pass its resolutions with the majority of the votes cast by the Directors present at a meeting at which the attendance quorum of Section 3.06(a) above is satisfied. The Chairperson shall have no casting vote but shall have the same vote as each other Director.</w:t>
      </w:r>
    </w:p>
    <w:p>
      <w:pPr>
        <w:spacing w:after="0" w:line="171" w:lineRule="exact"/>
        <w:rPr>
          <w:rFonts w:ascii="Arial" w:cs="Arial" w:eastAsia="Arial" w:hAnsi="Arial"/>
          <w:sz w:val="20"/>
          <w:szCs w:val="20"/>
          <w:color w:val="auto"/>
        </w:rPr>
      </w:pPr>
    </w:p>
    <w:p>
      <w:pPr>
        <w:jc w:val="both"/>
        <w:ind w:left="40" w:right="79" w:firstLine="652"/>
        <w:spacing w:after="0" w:line="231" w:lineRule="auto"/>
        <w:tabs>
          <w:tab w:leader="none" w:pos="1336" w:val="left"/>
        </w:tabs>
        <w:numPr>
          <w:ilvl w:val="0"/>
          <w:numId w:val="234"/>
        </w:numPr>
        <w:rPr>
          <w:rFonts w:ascii="Arial" w:cs="Arial" w:eastAsia="Arial" w:hAnsi="Arial"/>
          <w:sz w:val="20"/>
          <w:szCs w:val="20"/>
          <w:color w:val="auto"/>
        </w:rPr>
      </w:pPr>
      <w:r>
        <w:rPr>
          <w:rFonts w:ascii="Arial" w:cs="Arial" w:eastAsia="Arial" w:hAnsi="Arial"/>
          <w:sz w:val="20"/>
          <w:szCs w:val="20"/>
          <w:color w:val="auto"/>
        </w:rPr>
        <w:t>Resolutions of the Board may be passed without a meeting by way of written consent (including by e-mail or other electronic means). A proposal for a written consent must be communicated to all Board members and is only deemed to have passed (in one or more counterparts) if: (i) an absolute majority of all Board members participating in this written consent approves the proposed resolution; and (ii) no Board member requests a Board meeting with respect to the subject matter of the proposed Board resolution within the time period specified in the proposal, which shall not be less than 24 hours after receipt of the proposal, unless the matter is time-critical or has been previously discussed.</w:t>
      </w:r>
    </w:p>
    <w:p>
      <w:pPr>
        <w:spacing w:after="0" w:line="173" w:lineRule="exact"/>
        <w:rPr>
          <w:rFonts w:ascii="Arial" w:cs="Arial" w:eastAsia="Arial" w:hAnsi="Arial"/>
          <w:sz w:val="20"/>
          <w:szCs w:val="20"/>
          <w:color w:val="auto"/>
        </w:rPr>
      </w:pPr>
    </w:p>
    <w:p>
      <w:pPr>
        <w:jc w:val="both"/>
        <w:ind w:left="40" w:right="79" w:firstLine="652"/>
        <w:spacing w:after="0" w:line="237" w:lineRule="auto"/>
        <w:tabs>
          <w:tab w:leader="none" w:pos="1336" w:val="left"/>
        </w:tabs>
        <w:numPr>
          <w:ilvl w:val="0"/>
          <w:numId w:val="234"/>
        </w:numPr>
        <w:rPr>
          <w:rFonts w:ascii="Arial" w:cs="Arial" w:eastAsia="Arial" w:hAnsi="Arial"/>
          <w:sz w:val="20"/>
          <w:szCs w:val="20"/>
          <w:color w:val="auto"/>
        </w:rPr>
      </w:pPr>
      <w:r>
        <w:rPr>
          <w:rFonts w:ascii="Arial" w:cs="Arial" w:eastAsia="Arial" w:hAnsi="Arial"/>
          <w:sz w:val="20"/>
          <w:szCs w:val="20"/>
          <w:color w:val="auto"/>
        </w:rPr>
        <w:t>The Board shall cause minutes to be made for the purpose of recording the proceedings at all meetings of the Company and the Directors and of committees of the Board. The minutes shall be signed by the acting chairperson and the secretary and must be approved by the Board.</w:t>
      </w:r>
    </w:p>
    <w:p>
      <w:pPr>
        <w:spacing w:after="0" w:line="172" w:lineRule="exact"/>
        <w:rPr>
          <w:sz w:val="20"/>
          <w:szCs w:val="20"/>
          <w:color w:val="auto"/>
        </w:rPr>
      </w:pPr>
    </w:p>
    <w:p>
      <w:pPr>
        <w:ind w:left="800"/>
        <w:spacing w:after="0"/>
        <w:rPr>
          <w:sz w:val="20"/>
          <w:szCs w:val="20"/>
          <w:color w:val="auto"/>
        </w:rPr>
      </w:pPr>
      <w:r>
        <w:rPr>
          <w:rFonts w:ascii="Arial" w:cs="Arial" w:eastAsia="Arial" w:hAnsi="Arial"/>
          <w:sz w:val="20"/>
          <w:szCs w:val="20"/>
          <w:color w:val="auto"/>
        </w:rPr>
        <w:t xml:space="preserve">Section 3.07. </w:t>
      </w:r>
      <w:r>
        <w:rPr>
          <w:rFonts w:ascii="Arial" w:cs="Arial" w:eastAsia="Arial" w:hAnsi="Arial"/>
          <w:sz w:val="20"/>
          <w:szCs w:val="20"/>
          <w:i w:val="1"/>
          <w:iCs w:val="1"/>
          <w:color w:val="auto"/>
        </w:rPr>
        <w:t>Information and Reporting.</w:t>
      </w:r>
    </w:p>
    <w:p>
      <w:pPr>
        <w:spacing w:after="0" w:line="135" w:lineRule="exact"/>
        <w:rPr>
          <w:sz w:val="20"/>
          <w:szCs w:val="20"/>
          <w:color w:val="auto"/>
        </w:rPr>
      </w:pPr>
    </w:p>
    <w:p>
      <w:pPr>
        <w:ind w:left="40" w:right="79" w:firstLine="652"/>
        <w:spacing w:after="0" w:line="257" w:lineRule="auto"/>
        <w:tabs>
          <w:tab w:leader="none" w:pos="1336" w:val="left"/>
        </w:tabs>
        <w:numPr>
          <w:ilvl w:val="0"/>
          <w:numId w:val="235"/>
        </w:numPr>
        <w:rPr>
          <w:rFonts w:ascii="Arial" w:cs="Arial" w:eastAsia="Arial" w:hAnsi="Arial"/>
          <w:sz w:val="20"/>
          <w:szCs w:val="20"/>
          <w:color w:val="auto"/>
        </w:rPr>
      </w:pPr>
      <w:r>
        <w:rPr>
          <w:rFonts w:ascii="Arial" w:cs="Arial" w:eastAsia="Arial" w:hAnsi="Arial"/>
          <w:sz w:val="20"/>
          <w:szCs w:val="20"/>
          <w:color w:val="auto"/>
        </w:rPr>
        <w:t>At Board meetings, each member of the Board is entitled to request and receive from other Directors and from the Chief Executive Officer information on all affairs of the Company.</w:t>
      </w:r>
    </w:p>
    <w:p>
      <w:pPr>
        <w:spacing w:after="0" w:line="74" w:lineRule="exact"/>
        <w:rPr>
          <w:rFonts w:ascii="Arial" w:cs="Arial" w:eastAsia="Arial" w:hAnsi="Arial"/>
          <w:sz w:val="20"/>
          <w:szCs w:val="20"/>
          <w:color w:val="auto"/>
        </w:rPr>
      </w:pPr>
    </w:p>
    <w:p>
      <w:pPr>
        <w:jc w:val="both"/>
        <w:ind w:left="40" w:right="79" w:firstLine="652"/>
        <w:spacing w:after="0" w:line="241" w:lineRule="auto"/>
        <w:tabs>
          <w:tab w:leader="none" w:pos="1336" w:val="left"/>
        </w:tabs>
        <w:numPr>
          <w:ilvl w:val="0"/>
          <w:numId w:val="235"/>
        </w:numPr>
        <w:rPr>
          <w:rFonts w:ascii="Arial" w:cs="Arial" w:eastAsia="Arial" w:hAnsi="Arial"/>
          <w:sz w:val="20"/>
          <w:szCs w:val="20"/>
          <w:color w:val="auto"/>
        </w:rPr>
      </w:pPr>
      <w:r>
        <w:rPr>
          <w:rFonts w:ascii="Arial" w:cs="Arial" w:eastAsia="Arial" w:hAnsi="Arial"/>
          <w:sz w:val="20"/>
          <w:szCs w:val="20"/>
          <w:color w:val="auto"/>
        </w:rPr>
        <w:t>Outside of Board meetings, each Director may request information from the Chief Executive Officer on the general course of business and, upon approval of the Chairperson, each Director may obtain information on specific transactions and/or access to business documents.</w:t>
      </w:r>
    </w:p>
    <w:p>
      <w:pPr>
        <w:spacing w:after="0" w:line="104" w:lineRule="exact"/>
        <w:rPr>
          <w:sz w:val="20"/>
          <w:szCs w:val="20"/>
          <w:color w:val="auto"/>
        </w:rPr>
      </w:pPr>
    </w:p>
    <w:p>
      <w:pPr>
        <w:ind w:left="160" w:right="99" w:firstLine="648"/>
        <w:spacing w:after="0" w:line="232" w:lineRule="auto"/>
        <w:rPr>
          <w:sz w:val="20"/>
          <w:szCs w:val="20"/>
          <w:color w:val="auto"/>
        </w:rPr>
      </w:pPr>
      <w:r>
        <w:rPr>
          <w:rFonts w:ascii="Arial" w:cs="Arial" w:eastAsia="Arial" w:hAnsi="Arial"/>
          <w:sz w:val="20"/>
          <w:szCs w:val="20"/>
          <w:color w:val="auto"/>
        </w:rPr>
        <w:t xml:space="preserve">Section 3.08. </w:t>
      </w:r>
      <w:r>
        <w:rPr>
          <w:rFonts w:ascii="Arial" w:cs="Arial" w:eastAsia="Arial" w:hAnsi="Arial"/>
          <w:sz w:val="20"/>
          <w:szCs w:val="20"/>
          <w:i w:val="1"/>
          <w:iCs w:val="1"/>
          <w:color w:val="auto"/>
        </w:rPr>
        <w:t>Compensation.</w:t>
      </w:r>
      <w:r>
        <w:rPr>
          <w:rFonts w:ascii="Arial" w:cs="Arial" w:eastAsia="Arial" w:hAnsi="Arial"/>
          <w:sz w:val="20"/>
          <w:szCs w:val="20"/>
          <w:color w:val="auto"/>
        </w:rPr>
        <w:t xml:space="preserve"> Each Director shall be entitled to receive as compensation for such Director's services as a Director or committee member or for attendance at meetings of the Board or committees, or both, such amounts (if any) as shall be fixed from time to time by the Board or the Compensation Committee, subject to shareholder ratification as required by law and the Articles of Association. In determining Directors' compensation, the Board shall give due consideration to applicable regulatory limitations, the governance framework set forth in the Corporate Governance Guidelines of the Company as well as the recommendations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577215</wp:posOffset>
            </wp:positionV>
            <wp:extent cx="5648960" cy="171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5648960" cy="17145"/>
                    </a:xfrm>
                    <a:prstGeom prst="rect">
                      <a:avLst/>
                    </a:prstGeom>
                    <a:noFill/>
                  </pic:spPr>
                </pic:pic>
              </a:graphicData>
            </a:graphic>
          </wp:anchor>
        </w:drawing>
      </w:r>
    </w:p>
    <w:p>
      <w:pPr>
        <w:sectPr>
          <w:pgSz w:w="11900" w:h="16838" w:orient="portrait"/>
          <w:cols w:equalWidth="0" w:num="1">
            <w:col w:w="9019"/>
          </w:cols>
          <w:pgMar w:left="1440" w:top="670" w:right="1440" w:bottom="1440" w:gutter="0" w:footer="0" w:header="0"/>
        </w:sectPr>
      </w:pPr>
    </w:p>
    <w:bookmarkStart w:id="70" w:name="page71"/>
    <w:bookmarkEnd w:id="70"/>
    <w:p>
      <w:pPr>
        <w:ind w:left="8860"/>
        <w:spacing w:after="0"/>
        <w:rPr>
          <w:sz w:val="20"/>
          <w:szCs w:val="20"/>
          <w:color w:val="auto"/>
        </w:rPr>
      </w:pPr>
      <w:r>
        <w:rPr>
          <w:rFonts w:ascii="Arial" w:cs="Arial" w:eastAsia="Arial" w:hAnsi="Arial"/>
          <w:sz w:val="14"/>
          <w:szCs w:val="14"/>
          <w:color w:val="auto"/>
        </w:rPr>
        <w:t>7</w:t>
      </w:r>
    </w:p>
    <w:p>
      <w:pPr>
        <w:spacing w:after="0" w:line="205" w:lineRule="exact"/>
        <w:rPr>
          <w:sz w:val="20"/>
          <w:szCs w:val="20"/>
          <w:color w:val="auto"/>
        </w:rPr>
      </w:pPr>
    </w:p>
    <w:p>
      <w:pPr>
        <w:jc w:val="both"/>
        <w:ind w:left="40" w:right="79"/>
        <w:spacing w:after="0" w:line="257" w:lineRule="auto"/>
        <w:rPr>
          <w:sz w:val="20"/>
          <w:szCs w:val="20"/>
          <w:color w:val="auto"/>
        </w:rPr>
      </w:pPr>
      <w:r>
        <w:rPr>
          <w:rFonts w:ascii="Arial" w:cs="Arial" w:eastAsia="Arial" w:hAnsi="Arial"/>
          <w:sz w:val="20"/>
          <w:szCs w:val="20"/>
          <w:color w:val="auto"/>
        </w:rPr>
        <w:t>Compensation Committee. Each Director shall be entitled to reimbursement for reasonable traveling expenses incurred by such Director in attending any such meeting.</w:t>
      </w:r>
    </w:p>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ARTICLE 4</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C</w:t>
      </w:r>
      <w:r>
        <w:rPr>
          <w:rFonts w:ascii="Arial" w:cs="Arial" w:eastAsia="Arial" w:hAnsi="Arial"/>
          <w:sz w:val="13"/>
          <w:szCs w:val="13"/>
          <w:b w:val="1"/>
          <w:bCs w:val="1"/>
          <w:color w:val="auto"/>
        </w:rPr>
        <w:t>hairperson and</w:t>
      </w:r>
      <w:r>
        <w:rPr>
          <w:rFonts w:ascii="Arial" w:cs="Arial" w:eastAsia="Arial" w:hAnsi="Arial"/>
          <w:sz w:val="20"/>
          <w:szCs w:val="20"/>
          <w:b w:val="1"/>
          <w:bCs w:val="1"/>
          <w:color w:val="auto"/>
        </w:rPr>
        <w:t xml:space="preserve"> V</w:t>
      </w:r>
      <w:r>
        <w:rPr>
          <w:rFonts w:ascii="Arial" w:cs="Arial" w:eastAsia="Arial" w:hAnsi="Arial"/>
          <w:sz w:val="13"/>
          <w:szCs w:val="13"/>
          <w:b w:val="1"/>
          <w:bCs w:val="1"/>
          <w:color w:val="auto"/>
        </w:rPr>
        <w:t>ice</w:t>
      </w:r>
      <w:r>
        <w:rPr>
          <w:rFonts w:ascii="Arial" w:cs="Arial" w:eastAsia="Arial" w:hAnsi="Arial"/>
          <w:sz w:val="20"/>
          <w:szCs w:val="20"/>
          <w:b w:val="1"/>
          <w:bCs w:val="1"/>
          <w:color w:val="auto"/>
        </w:rPr>
        <w:t>-C</w:t>
      </w:r>
      <w:r>
        <w:rPr>
          <w:rFonts w:ascii="Arial" w:cs="Arial" w:eastAsia="Arial" w:hAnsi="Arial"/>
          <w:sz w:val="13"/>
          <w:szCs w:val="13"/>
          <w:b w:val="1"/>
          <w:bCs w:val="1"/>
          <w:color w:val="auto"/>
        </w:rPr>
        <w:t>hairperson</w:t>
      </w:r>
    </w:p>
    <w:p>
      <w:pPr>
        <w:spacing w:after="0" w:line="184" w:lineRule="exact"/>
        <w:rPr>
          <w:sz w:val="20"/>
          <w:szCs w:val="20"/>
          <w:color w:val="auto"/>
        </w:rPr>
      </w:pPr>
    </w:p>
    <w:p>
      <w:pPr>
        <w:ind w:left="160" w:right="99" w:firstLine="648"/>
        <w:spacing w:after="0" w:line="257" w:lineRule="auto"/>
        <w:rPr>
          <w:sz w:val="20"/>
          <w:szCs w:val="20"/>
          <w:color w:val="auto"/>
        </w:rPr>
      </w:pPr>
      <w:r>
        <w:rPr>
          <w:rFonts w:ascii="Arial" w:cs="Arial" w:eastAsia="Arial" w:hAnsi="Arial"/>
          <w:sz w:val="20"/>
          <w:szCs w:val="20"/>
          <w:color w:val="auto"/>
        </w:rPr>
        <w:t xml:space="preserve">Section 4.01. </w:t>
      </w:r>
      <w:r>
        <w:rPr>
          <w:rFonts w:ascii="Arial" w:cs="Arial" w:eastAsia="Arial" w:hAnsi="Arial"/>
          <w:sz w:val="20"/>
          <w:szCs w:val="20"/>
          <w:i w:val="1"/>
          <w:iCs w:val="1"/>
          <w:color w:val="auto"/>
        </w:rPr>
        <w:t>Power and Duties.</w:t>
      </w:r>
      <w:r>
        <w:rPr>
          <w:rFonts w:ascii="Arial" w:cs="Arial" w:eastAsia="Arial" w:hAnsi="Arial"/>
          <w:sz w:val="20"/>
          <w:szCs w:val="20"/>
          <w:color w:val="auto"/>
        </w:rPr>
        <w:t xml:space="preserve"> The Chairperson of the Board shall preside at all meetings of the Board, subject to ARTICLE 5. Further, the Chairperson has the following powers and duties:</w:t>
      </w:r>
    </w:p>
    <w:p>
      <w:pPr>
        <w:spacing w:after="0" w:line="155" w:lineRule="exact"/>
        <w:rPr>
          <w:sz w:val="20"/>
          <w:szCs w:val="20"/>
          <w:color w:val="auto"/>
        </w:rPr>
      </w:pPr>
    </w:p>
    <w:p>
      <w:pPr>
        <w:ind w:left="40" w:right="79" w:firstLine="652"/>
        <w:spacing w:after="0" w:line="257" w:lineRule="auto"/>
        <w:tabs>
          <w:tab w:leader="none" w:pos="1336" w:val="left"/>
        </w:tabs>
        <w:numPr>
          <w:ilvl w:val="0"/>
          <w:numId w:val="236"/>
        </w:numPr>
        <w:rPr>
          <w:rFonts w:ascii="Arial" w:cs="Arial" w:eastAsia="Arial" w:hAnsi="Arial"/>
          <w:sz w:val="20"/>
          <w:szCs w:val="20"/>
          <w:color w:val="auto"/>
        </w:rPr>
      </w:pPr>
      <w:r>
        <w:rPr>
          <w:rFonts w:ascii="Arial" w:cs="Arial" w:eastAsia="Arial" w:hAnsi="Arial"/>
          <w:sz w:val="20"/>
          <w:szCs w:val="20"/>
          <w:color w:val="auto"/>
        </w:rPr>
        <w:t>contact with the Chief Executive Officer between Board meetings in order to be informed about important business developments;</w:t>
      </w:r>
    </w:p>
    <w:p>
      <w:pPr>
        <w:spacing w:after="0" w:line="155" w:lineRule="exact"/>
        <w:rPr>
          <w:rFonts w:ascii="Arial" w:cs="Arial" w:eastAsia="Arial" w:hAnsi="Arial"/>
          <w:sz w:val="20"/>
          <w:szCs w:val="20"/>
          <w:color w:val="auto"/>
        </w:rPr>
      </w:pPr>
    </w:p>
    <w:p>
      <w:pPr>
        <w:ind w:left="1340" w:hanging="648"/>
        <w:spacing w:after="0"/>
        <w:tabs>
          <w:tab w:leader="none" w:pos="1340" w:val="left"/>
        </w:tabs>
        <w:numPr>
          <w:ilvl w:val="0"/>
          <w:numId w:val="236"/>
        </w:numPr>
        <w:rPr>
          <w:rFonts w:ascii="Arial" w:cs="Arial" w:eastAsia="Arial" w:hAnsi="Arial"/>
          <w:sz w:val="20"/>
          <w:szCs w:val="20"/>
          <w:color w:val="auto"/>
        </w:rPr>
      </w:pPr>
      <w:r>
        <w:rPr>
          <w:rFonts w:ascii="Arial" w:cs="Arial" w:eastAsia="Arial" w:hAnsi="Arial"/>
          <w:sz w:val="20"/>
          <w:szCs w:val="20"/>
          <w:color w:val="auto"/>
        </w:rPr>
        <w:t>preparing the agenda for the General Meetings of Shareholders and Board meetings;</w:t>
      </w:r>
    </w:p>
    <w:p>
      <w:pPr>
        <w:spacing w:after="0" w:line="202" w:lineRule="exact"/>
        <w:rPr>
          <w:rFonts w:ascii="Arial" w:cs="Arial" w:eastAsia="Arial" w:hAnsi="Arial"/>
          <w:sz w:val="20"/>
          <w:szCs w:val="20"/>
          <w:color w:val="auto"/>
        </w:rPr>
      </w:pPr>
    </w:p>
    <w:p>
      <w:pPr>
        <w:ind w:left="1340" w:hanging="648"/>
        <w:spacing w:after="0"/>
        <w:tabs>
          <w:tab w:leader="none" w:pos="1340" w:val="left"/>
        </w:tabs>
        <w:numPr>
          <w:ilvl w:val="0"/>
          <w:numId w:val="236"/>
        </w:numPr>
        <w:rPr>
          <w:rFonts w:ascii="Arial" w:cs="Arial" w:eastAsia="Arial" w:hAnsi="Arial"/>
          <w:sz w:val="20"/>
          <w:szCs w:val="20"/>
          <w:color w:val="auto"/>
        </w:rPr>
      </w:pPr>
      <w:r>
        <w:rPr>
          <w:rFonts w:ascii="Arial" w:cs="Arial" w:eastAsia="Arial" w:hAnsi="Arial"/>
          <w:sz w:val="20"/>
          <w:szCs w:val="20"/>
          <w:color w:val="auto"/>
        </w:rPr>
        <w:t>presiding over the General Meetings of Shareholders and Board meetings;</w:t>
      </w:r>
    </w:p>
    <w:p>
      <w:pPr>
        <w:spacing w:after="0" w:line="202" w:lineRule="exact"/>
        <w:rPr>
          <w:rFonts w:ascii="Arial" w:cs="Arial" w:eastAsia="Arial" w:hAnsi="Arial"/>
          <w:sz w:val="20"/>
          <w:szCs w:val="20"/>
          <w:color w:val="auto"/>
        </w:rPr>
      </w:pPr>
    </w:p>
    <w:p>
      <w:pPr>
        <w:ind w:left="1340" w:hanging="648"/>
        <w:spacing w:after="0"/>
        <w:tabs>
          <w:tab w:leader="none" w:pos="1340" w:val="left"/>
        </w:tabs>
        <w:numPr>
          <w:ilvl w:val="0"/>
          <w:numId w:val="236"/>
        </w:numPr>
        <w:rPr>
          <w:rFonts w:ascii="Arial" w:cs="Arial" w:eastAsia="Arial" w:hAnsi="Arial"/>
          <w:sz w:val="20"/>
          <w:szCs w:val="20"/>
          <w:color w:val="auto"/>
        </w:rPr>
      </w:pPr>
      <w:r>
        <w:rPr>
          <w:rFonts w:ascii="Arial" w:cs="Arial" w:eastAsia="Arial" w:hAnsi="Arial"/>
          <w:sz w:val="20"/>
          <w:szCs w:val="20"/>
          <w:color w:val="auto"/>
        </w:rPr>
        <w:t>informing the full Board without delay of material extraordinary events; and</w:t>
      </w:r>
    </w:p>
    <w:p>
      <w:pPr>
        <w:spacing w:after="0" w:line="202" w:lineRule="exact"/>
        <w:rPr>
          <w:rFonts w:ascii="Arial" w:cs="Arial" w:eastAsia="Arial" w:hAnsi="Arial"/>
          <w:sz w:val="20"/>
          <w:szCs w:val="20"/>
          <w:color w:val="auto"/>
        </w:rPr>
      </w:pPr>
    </w:p>
    <w:p>
      <w:pPr>
        <w:ind w:left="40" w:right="79" w:firstLine="652"/>
        <w:spacing w:after="0" w:line="257" w:lineRule="auto"/>
        <w:tabs>
          <w:tab w:leader="none" w:pos="1336" w:val="left"/>
        </w:tabs>
        <w:numPr>
          <w:ilvl w:val="0"/>
          <w:numId w:val="236"/>
        </w:numPr>
        <w:rPr>
          <w:rFonts w:ascii="Arial" w:cs="Arial" w:eastAsia="Arial" w:hAnsi="Arial"/>
          <w:sz w:val="20"/>
          <w:szCs w:val="20"/>
          <w:color w:val="auto"/>
        </w:rPr>
      </w:pPr>
      <w:r>
        <w:rPr>
          <w:rFonts w:ascii="Arial" w:cs="Arial" w:eastAsia="Arial" w:hAnsi="Arial"/>
          <w:sz w:val="20"/>
          <w:szCs w:val="20"/>
          <w:color w:val="auto"/>
        </w:rPr>
        <w:t>any other matters reserved by law, the Articles of Association or these Organizational Regulations to the Chairperson.</w:t>
      </w:r>
    </w:p>
    <w:p>
      <w:pPr>
        <w:spacing w:after="0" w:line="155" w:lineRule="exact"/>
        <w:rPr>
          <w:sz w:val="20"/>
          <w:szCs w:val="20"/>
          <w:color w:val="auto"/>
        </w:rPr>
      </w:pPr>
    </w:p>
    <w:p>
      <w:pPr>
        <w:ind w:left="160" w:right="159" w:firstLine="648"/>
        <w:spacing w:after="0" w:line="237" w:lineRule="auto"/>
        <w:rPr>
          <w:sz w:val="20"/>
          <w:szCs w:val="20"/>
          <w:color w:val="auto"/>
        </w:rPr>
      </w:pPr>
      <w:r>
        <w:rPr>
          <w:rFonts w:ascii="Arial" w:cs="Arial" w:eastAsia="Arial" w:hAnsi="Arial"/>
          <w:sz w:val="20"/>
          <w:szCs w:val="20"/>
          <w:color w:val="auto"/>
        </w:rPr>
        <w:t xml:space="preserve">Section 4.02. </w:t>
      </w:r>
      <w:r>
        <w:rPr>
          <w:rFonts w:ascii="Arial" w:cs="Arial" w:eastAsia="Arial" w:hAnsi="Arial"/>
          <w:sz w:val="20"/>
          <w:szCs w:val="20"/>
          <w:i w:val="1"/>
          <w:iCs w:val="1"/>
          <w:color w:val="auto"/>
        </w:rPr>
        <w:t>Authority.</w:t>
      </w:r>
      <w:r>
        <w:rPr>
          <w:rFonts w:ascii="Arial" w:cs="Arial" w:eastAsia="Arial" w:hAnsi="Arial"/>
          <w:sz w:val="20"/>
          <w:szCs w:val="20"/>
          <w:color w:val="auto"/>
        </w:rPr>
        <w:t xml:space="preserve"> Should the Chairperson be unable or unavailable to exercise his functions,­ his functions shall be assumed by the Vice-Chairperson, if one has been elected, or if the latter has not been elected or is unable or unavailable to perform his duties, by the Lead Independent Director and then by another Director appointed by the Board.</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ARTICLE 5</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L</w:t>
      </w:r>
      <w:r>
        <w:rPr>
          <w:rFonts w:ascii="Arial" w:cs="Arial" w:eastAsia="Arial" w:hAnsi="Arial"/>
          <w:sz w:val="13"/>
          <w:szCs w:val="13"/>
          <w:b w:val="1"/>
          <w:bCs w:val="1"/>
          <w:color w:val="auto"/>
        </w:rPr>
        <w:t>ead</w:t>
      </w:r>
      <w:r>
        <w:rPr>
          <w:rFonts w:ascii="Arial" w:cs="Arial" w:eastAsia="Arial" w:hAnsi="Arial"/>
          <w:sz w:val="20"/>
          <w:szCs w:val="20"/>
          <w:b w:val="1"/>
          <w:bCs w:val="1"/>
          <w:color w:val="auto"/>
        </w:rPr>
        <w:t xml:space="preserve"> I</w:t>
      </w:r>
      <w:r>
        <w:rPr>
          <w:rFonts w:ascii="Arial" w:cs="Arial" w:eastAsia="Arial" w:hAnsi="Arial"/>
          <w:sz w:val="13"/>
          <w:szCs w:val="13"/>
          <w:b w:val="1"/>
          <w:bCs w:val="1"/>
          <w:color w:val="auto"/>
        </w:rPr>
        <w:t>ndependent</w:t>
      </w:r>
      <w:r>
        <w:rPr>
          <w:rFonts w:ascii="Arial" w:cs="Arial" w:eastAsia="Arial" w:hAnsi="Arial"/>
          <w:sz w:val="20"/>
          <w:szCs w:val="20"/>
          <w:b w:val="1"/>
          <w:bCs w:val="1"/>
          <w:color w:val="auto"/>
        </w:rPr>
        <w:t xml:space="preserve"> D</w:t>
      </w:r>
      <w:r>
        <w:rPr>
          <w:rFonts w:ascii="Arial" w:cs="Arial" w:eastAsia="Arial" w:hAnsi="Arial"/>
          <w:sz w:val="13"/>
          <w:szCs w:val="13"/>
          <w:b w:val="1"/>
          <w:bCs w:val="1"/>
          <w:color w:val="auto"/>
        </w:rPr>
        <w:t>irector</w:t>
      </w:r>
    </w:p>
    <w:p>
      <w:pPr>
        <w:spacing w:after="0" w:line="184" w:lineRule="exact"/>
        <w:rPr>
          <w:sz w:val="20"/>
          <w:szCs w:val="20"/>
          <w:color w:val="auto"/>
        </w:rPr>
      </w:pPr>
    </w:p>
    <w:p>
      <w:pPr>
        <w:ind w:left="800"/>
        <w:spacing w:after="0"/>
        <w:rPr>
          <w:sz w:val="20"/>
          <w:szCs w:val="20"/>
          <w:color w:val="auto"/>
        </w:rPr>
      </w:pPr>
      <w:r>
        <w:rPr>
          <w:rFonts w:ascii="Arial" w:cs="Arial" w:eastAsia="Arial" w:hAnsi="Arial"/>
          <w:sz w:val="20"/>
          <w:szCs w:val="20"/>
          <w:color w:val="auto"/>
        </w:rPr>
        <w:t xml:space="preserve">Section 5.01. </w:t>
      </w:r>
      <w:r>
        <w:rPr>
          <w:rFonts w:ascii="Arial" w:cs="Arial" w:eastAsia="Arial" w:hAnsi="Arial"/>
          <w:sz w:val="20"/>
          <w:szCs w:val="20"/>
          <w:i w:val="1"/>
          <w:iCs w:val="1"/>
          <w:color w:val="auto"/>
        </w:rPr>
        <w:t>Power and Duties.</w:t>
      </w:r>
      <w:r>
        <w:rPr>
          <w:rFonts w:ascii="Arial" w:cs="Arial" w:eastAsia="Arial" w:hAnsi="Arial"/>
          <w:sz w:val="20"/>
          <w:szCs w:val="20"/>
          <w:color w:val="auto"/>
        </w:rPr>
        <w:t xml:space="preserve"> The Lead Independent Director plays a critical role in</w:t>
      </w:r>
    </w:p>
    <w:p>
      <w:pPr>
        <w:spacing w:after="0" w:line="4" w:lineRule="exact"/>
        <w:rPr>
          <w:sz w:val="20"/>
          <w:szCs w:val="20"/>
          <w:color w:val="auto"/>
        </w:rPr>
      </w:pPr>
    </w:p>
    <w:p>
      <w:pPr>
        <w:ind w:left="160"/>
        <w:spacing w:after="0"/>
        <w:rPr>
          <w:sz w:val="20"/>
          <w:szCs w:val="20"/>
          <w:color w:val="auto"/>
        </w:rPr>
      </w:pPr>
      <w:r>
        <w:rPr>
          <w:rFonts w:ascii="Arial" w:cs="Arial" w:eastAsia="Arial" w:hAnsi="Arial"/>
          <w:sz w:val="20"/>
          <w:szCs w:val="20"/>
          <w:color w:val="auto"/>
        </w:rPr>
        <w:t>Board oversight and governance by, among other things:</w:t>
      </w:r>
    </w:p>
    <w:p>
      <w:pPr>
        <w:spacing w:after="0" w:line="184" w:lineRule="exact"/>
        <w:rPr>
          <w:sz w:val="20"/>
          <w:szCs w:val="20"/>
          <w:color w:val="auto"/>
        </w:rPr>
      </w:pPr>
    </w:p>
    <w:p>
      <w:pPr>
        <w:ind w:left="1340" w:hanging="648"/>
        <w:spacing w:after="0"/>
        <w:tabs>
          <w:tab w:leader="none" w:pos="1340" w:val="left"/>
        </w:tabs>
        <w:numPr>
          <w:ilvl w:val="0"/>
          <w:numId w:val="237"/>
        </w:numPr>
        <w:rPr>
          <w:rFonts w:ascii="Arial" w:cs="Arial" w:eastAsia="Arial" w:hAnsi="Arial"/>
          <w:sz w:val="20"/>
          <w:szCs w:val="20"/>
          <w:color w:val="auto"/>
        </w:rPr>
      </w:pPr>
      <w:r>
        <w:rPr>
          <w:rFonts w:ascii="Arial" w:cs="Arial" w:eastAsia="Arial" w:hAnsi="Arial"/>
          <w:sz w:val="20"/>
          <w:szCs w:val="20"/>
          <w:color w:val="auto"/>
        </w:rPr>
        <w:t>presiding at all executive sessions of non-management Directors;</w:t>
      </w:r>
    </w:p>
    <w:p>
      <w:pPr>
        <w:spacing w:after="0" w:line="202" w:lineRule="exact"/>
        <w:rPr>
          <w:rFonts w:ascii="Arial" w:cs="Arial" w:eastAsia="Arial" w:hAnsi="Arial"/>
          <w:sz w:val="20"/>
          <w:szCs w:val="20"/>
          <w:color w:val="auto"/>
        </w:rPr>
      </w:pPr>
    </w:p>
    <w:p>
      <w:pPr>
        <w:ind w:left="40" w:right="79" w:firstLine="652"/>
        <w:spacing w:after="0" w:line="257" w:lineRule="auto"/>
        <w:tabs>
          <w:tab w:leader="none" w:pos="1336" w:val="left"/>
        </w:tabs>
        <w:numPr>
          <w:ilvl w:val="0"/>
          <w:numId w:val="237"/>
        </w:numPr>
        <w:rPr>
          <w:rFonts w:ascii="Arial" w:cs="Arial" w:eastAsia="Arial" w:hAnsi="Arial"/>
          <w:sz w:val="20"/>
          <w:szCs w:val="20"/>
          <w:color w:val="auto"/>
        </w:rPr>
      </w:pPr>
      <w:r>
        <w:rPr>
          <w:rFonts w:ascii="Arial" w:cs="Arial" w:eastAsia="Arial" w:hAnsi="Arial"/>
          <w:sz w:val="20"/>
          <w:szCs w:val="20"/>
          <w:color w:val="auto"/>
        </w:rPr>
        <w:t>serving as the principal liaison between the executive Chairperson and non-management Directors;</w:t>
      </w:r>
    </w:p>
    <w:p>
      <w:pPr>
        <w:spacing w:after="0" w:line="155" w:lineRule="exact"/>
        <w:rPr>
          <w:rFonts w:ascii="Arial" w:cs="Arial" w:eastAsia="Arial" w:hAnsi="Arial"/>
          <w:sz w:val="20"/>
          <w:szCs w:val="20"/>
          <w:color w:val="auto"/>
        </w:rPr>
      </w:pPr>
    </w:p>
    <w:p>
      <w:pPr>
        <w:ind w:left="1340" w:hanging="648"/>
        <w:spacing w:after="0"/>
        <w:tabs>
          <w:tab w:leader="none" w:pos="1340" w:val="left"/>
        </w:tabs>
        <w:numPr>
          <w:ilvl w:val="0"/>
          <w:numId w:val="237"/>
        </w:numPr>
        <w:rPr>
          <w:rFonts w:ascii="Arial" w:cs="Arial" w:eastAsia="Arial" w:hAnsi="Arial"/>
          <w:sz w:val="20"/>
          <w:szCs w:val="20"/>
          <w:color w:val="auto"/>
        </w:rPr>
      </w:pPr>
      <w:r>
        <w:rPr>
          <w:rFonts w:ascii="Arial" w:cs="Arial" w:eastAsia="Arial" w:hAnsi="Arial"/>
          <w:sz w:val="20"/>
          <w:szCs w:val="20"/>
          <w:color w:val="auto"/>
        </w:rPr>
        <w:t>acting as alternative communication channel for Directors and all interested parties.</w:t>
      </w:r>
    </w:p>
    <w:p>
      <w:pPr>
        <w:spacing w:after="0" w:line="202" w:lineRule="exact"/>
        <w:rPr>
          <w:rFonts w:ascii="Arial" w:cs="Arial" w:eastAsia="Arial" w:hAnsi="Arial"/>
          <w:sz w:val="20"/>
          <w:szCs w:val="20"/>
          <w:color w:val="auto"/>
        </w:rPr>
      </w:pPr>
    </w:p>
    <w:p>
      <w:pPr>
        <w:ind w:left="40" w:right="79" w:firstLine="652"/>
        <w:spacing w:after="0" w:line="257" w:lineRule="auto"/>
        <w:tabs>
          <w:tab w:leader="none" w:pos="1336" w:val="left"/>
        </w:tabs>
        <w:numPr>
          <w:ilvl w:val="0"/>
          <w:numId w:val="237"/>
        </w:numPr>
        <w:rPr>
          <w:rFonts w:ascii="Arial" w:cs="Arial" w:eastAsia="Arial" w:hAnsi="Arial"/>
          <w:sz w:val="20"/>
          <w:szCs w:val="20"/>
          <w:color w:val="auto"/>
        </w:rPr>
      </w:pPr>
      <w:r>
        <w:rPr>
          <w:rFonts w:ascii="Arial" w:cs="Arial" w:eastAsia="Arial" w:hAnsi="Arial"/>
          <w:sz w:val="20"/>
          <w:szCs w:val="20"/>
          <w:color w:val="auto"/>
        </w:rPr>
        <w:t>consulting with the executive Chairperson on agendas for meetings of the Board and other matters pertinent to the Company and the Board;</w:t>
      </w:r>
    </w:p>
    <w:p>
      <w:pPr>
        <w:spacing w:after="0" w:line="155" w:lineRule="exact"/>
        <w:rPr>
          <w:rFonts w:ascii="Arial" w:cs="Arial" w:eastAsia="Arial" w:hAnsi="Arial"/>
          <w:sz w:val="20"/>
          <w:szCs w:val="20"/>
          <w:color w:val="auto"/>
        </w:rPr>
      </w:pPr>
    </w:p>
    <w:p>
      <w:pPr>
        <w:ind w:left="40" w:right="79" w:firstLine="652"/>
        <w:spacing w:after="0" w:line="257" w:lineRule="auto"/>
        <w:tabs>
          <w:tab w:leader="none" w:pos="1336" w:val="left"/>
        </w:tabs>
        <w:numPr>
          <w:ilvl w:val="0"/>
          <w:numId w:val="237"/>
        </w:numPr>
        <w:rPr>
          <w:rFonts w:ascii="Arial" w:cs="Arial" w:eastAsia="Arial" w:hAnsi="Arial"/>
          <w:sz w:val="20"/>
          <w:szCs w:val="20"/>
          <w:color w:val="auto"/>
        </w:rPr>
      </w:pPr>
      <w:r>
        <w:rPr>
          <w:rFonts w:ascii="Arial" w:cs="Arial" w:eastAsia="Arial" w:hAnsi="Arial"/>
          <w:sz w:val="20"/>
          <w:szCs w:val="20"/>
          <w:color w:val="auto"/>
        </w:rPr>
        <w:t>any other matters reserved by law, the Articles of Association or these Organizational Regulations to the Lead Independent Director.</w:t>
      </w:r>
    </w:p>
    <w:p>
      <w:pPr>
        <w:spacing w:after="0" w:line="155" w:lineRule="exact"/>
        <w:rPr>
          <w:sz w:val="20"/>
          <w:szCs w:val="20"/>
          <w:color w:val="auto"/>
        </w:rPr>
      </w:pPr>
    </w:p>
    <w:p>
      <w:pPr>
        <w:ind w:left="160" w:right="219" w:firstLine="648"/>
        <w:spacing w:after="0" w:line="241" w:lineRule="auto"/>
        <w:rPr>
          <w:sz w:val="20"/>
          <w:szCs w:val="20"/>
          <w:color w:val="auto"/>
        </w:rPr>
      </w:pPr>
      <w:r>
        <w:rPr>
          <w:rFonts w:ascii="Arial" w:cs="Arial" w:eastAsia="Arial" w:hAnsi="Arial"/>
          <w:sz w:val="20"/>
          <w:szCs w:val="20"/>
          <w:color w:val="auto"/>
        </w:rPr>
        <w:t xml:space="preserve">Section 5.02. </w:t>
      </w:r>
      <w:r>
        <w:rPr>
          <w:rFonts w:ascii="Arial" w:cs="Arial" w:eastAsia="Arial" w:hAnsi="Arial"/>
          <w:sz w:val="20"/>
          <w:szCs w:val="20"/>
          <w:i w:val="1"/>
          <w:iCs w:val="1"/>
          <w:color w:val="auto"/>
        </w:rPr>
        <w:t>Authority.</w:t>
      </w:r>
      <w:r>
        <w:rPr>
          <w:rFonts w:ascii="Arial" w:cs="Arial" w:eastAsia="Arial" w:hAnsi="Arial"/>
          <w:sz w:val="20"/>
          <w:szCs w:val="20"/>
          <w:color w:val="auto"/>
        </w:rPr>
        <w:t xml:space="preserve"> Should the Lead Independent Director be unable or unavailable to exercise his functions, his functions shall be assumed by another non-management Director appointed by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894080</wp:posOffset>
            </wp:positionV>
            <wp:extent cx="5648960" cy="254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5648960" cy="25400"/>
                    </a:xfrm>
                    <a:prstGeom prst="rect">
                      <a:avLst/>
                    </a:prstGeom>
                    <a:noFill/>
                  </pic:spPr>
                </pic:pic>
              </a:graphicData>
            </a:graphic>
          </wp:anchor>
        </w:drawing>
      </w:r>
    </w:p>
    <w:p>
      <w:pPr>
        <w:sectPr>
          <w:pgSz w:w="11900" w:h="16838" w:orient="portrait"/>
          <w:cols w:equalWidth="0" w:num="1">
            <w:col w:w="9019"/>
          </w:cols>
          <w:pgMar w:left="1440" w:top="670" w:right="1440" w:bottom="1440" w:gutter="0" w:footer="0" w:header="0"/>
        </w:sectPr>
      </w:pPr>
    </w:p>
    <w:bookmarkStart w:id="71" w:name="page72"/>
    <w:bookmarkEnd w:id="71"/>
    <w:p>
      <w:pPr>
        <w:jc w:val="right"/>
        <w:ind w:right="79"/>
        <w:spacing w:after="0"/>
        <w:rPr>
          <w:sz w:val="20"/>
          <w:szCs w:val="20"/>
          <w:color w:val="auto"/>
        </w:rPr>
      </w:pPr>
      <w:r>
        <w:rPr>
          <w:rFonts w:ascii="Arial" w:cs="Arial" w:eastAsia="Arial" w:hAnsi="Arial"/>
          <w:sz w:val="14"/>
          <w:szCs w:val="14"/>
          <w:color w:val="auto"/>
        </w:rPr>
        <w:t>8</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ARTICLE 6</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B</w:t>
      </w:r>
      <w:r>
        <w:rPr>
          <w:rFonts w:ascii="Arial" w:cs="Arial" w:eastAsia="Arial" w:hAnsi="Arial"/>
          <w:sz w:val="13"/>
          <w:szCs w:val="13"/>
          <w:b w:val="1"/>
          <w:bCs w:val="1"/>
          <w:color w:val="auto"/>
        </w:rPr>
        <w:t>oard</w:t>
      </w:r>
      <w:r>
        <w:rPr>
          <w:rFonts w:ascii="Arial" w:cs="Arial" w:eastAsia="Arial" w:hAnsi="Arial"/>
          <w:sz w:val="20"/>
          <w:szCs w:val="20"/>
          <w:b w:val="1"/>
          <w:bCs w:val="1"/>
          <w:color w:val="auto"/>
        </w:rPr>
        <w:t xml:space="preserve"> C</w:t>
      </w:r>
      <w:r>
        <w:rPr>
          <w:rFonts w:ascii="Arial" w:cs="Arial" w:eastAsia="Arial" w:hAnsi="Arial"/>
          <w:sz w:val="13"/>
          <w:szCs w:val="13"/>
          <w:b w:val="1"/>
          <w:bCs w:val="1"/>
          <w:color w:val="auto"/>
        </w:rPr>
        <w:t>ommittees</w:t>
      </w:r>
    </w:p>
    <w:p>
      <w:pPr>
        <w:spacing w:after="0" w:line="184" w:lineRule="exact"/>
        <w:rPr>
          <w:sz w:val="20"/>
          <w:szCs w:val="20"/>
          <w:color w:val="auto"/>
        </w:rPr>
      </w:pPr>
    </w:p>
    <w:p>
      <w:pPr>
        <w:ind w:left="800"/>
        <w:spacing w:after="0"/>
        <w:rPr>
          <w:sz w:val="20"/>
          <w:szCs w:val="20"/>
          <w:color w:val="auto"/>
        </w:rPr>
      </w:pPr>
      <w:r>
        <w:rPr>
          <w:rFonts w:ascii="Arial" w:cs="Arial" w:eastAsia="Arial" w:hAnsi="Arial"/>
          <w:sz w:val="20"/>
          <w:szCs w:val="20"/>
          <w:color w:val="auto"/>
        </w:rPr>
        <w:t xml:space="preserve">Section 6.01. </w:t>
      </w:r>
      <w:r>
        <w:rPr>
          <w:rFonts w:ascii="Arial" w:cs="Arial" w:eastAsia="Arial" w:hAnsi="Arial"/>
          <w:sz w:val="20"/>
          <w:szCs w:val="20"/>
          <w:i w:val="1"/>
          <w:iCs w:val="1"/>
          <w:color w:val="auto"/>
        </w:rPr>
        <w:t>General.</w:t>
      </w:r>
    </w:p>
    <w:p>
      <w:pPr>
        <w:spacing w:after="0" w:line="202" w:lineRule="exact"/>
        <w:rPr>
          <w:sz w:val="20"/>
          <w:szCs w:val="20"/>
          <w:color w:val="auto"/>
        </w:rPr>
      </w:pPr>
    </w:p>
    <w:p>
      <w:pPr>
        <w:jc w:val="both"/>
        <w:ind w:left="40" w:right="79" w:firstLine="652"/>
        <w:spacing w:after="0" w:line="228" w:lineRule="auto"/>
        <w:tabs>
          <w:tab w:leader="none" w:pos="1336" w:val="left"/>
        </w:tabs>
        <w:numPr>
          <w:ilvl w:val="0"/>
          <w:numId w:val="238"/>
        </w:numPr>
        <w:rPr>
          <w:rFonts w:ascii="Arial" w:cs="Arial" w:eastAsia="Arial" w:hAnsi="Arial"/>
          <w:sz w:val="20"/>
          <w:szCs w:val="20"/>
          <w:color w:val="auto"/>
        </w:rPr>
      </w:pPr>
      <w:r>
        <w:rPr>
          <w:rFonts w:ascii="Arial" w:cs="Arial" w:eastAsia="Arial" w:hAnsi="Arial"/>
          <w:sz w:val="20"/>
          <w:szCs w:val="20"/>
          <w:color w:val="auto"/>
        </w:rPr>
        <w:t>The Board may, by resolution passed by a majority of the whole Board, designate one or more committees, each committee to consist of one or more of the Directors, as designated by the Board (in relation to the Compensation Committee, subject to the election of the Directors so designated by the shareholders). The Board may designate one or more alternate Directors as members of any committee, except for the Compensation Committee, who may replace any absent member at any meeting of the committee. In the absence of a member of a committee, the member or members thereof present at any meeting and not disqualified from voting, whether or not constituting a quorum, may unanimously appoint, except in relation to the Compensation Committee, another member of the Board to act at the meeting in the place of any such absent member. At all meetings of any committee, a majority of its members (or the member, if only one) shall constitute a quorum for the transaction of business, and the act of a majority of the members present shall be the act of any such committee, unless otherwise specifically provided by law, the Articles of Association or these Organizational Regulations. Subject to provisions of applicable law and the Articles of Association in relation to the Compensation Committee, the Board shall have the power at any time to change the number and members of any such committee, to fill vacancies and to discharge any such committee.</w:t>
      </w:r>
    </w:p>
    <w:p>
      <w:pPr>
        <w:spacing w:after="0" w:line="176" w:lineRule="exact"/>
        <w:rPr>
          <w:rFonts w:ascii="Arial" w:cs="Arial" w:eastAsia="Arial" w:hAnsi="Arial"/>
          <w:sz w:val="20"/>
          <w:szCs w:val="20"/>
          <w:color w:val="auto"/>
        </w:rPr>
      </w:pPr>
    </w:p>
    <w:p>
      <w:pPr>
        <w:jc w:val="both"/>
        <w:ind w:left="40" w:right="79" w:firstLine="652"/>
        <w:spacing w:after="0" w:line="234" w:lineRule="auto"/>
        <w:tabs>
          <w:tab w:leader="none" w:pos="1336" w:val="left"/>
        </w:tabs>
        <w:numPr>
          <w:ilvl w:val="0"/>
          <w:numId w:val="238"/>
        </w:numPr>
        <w:rPr>
          <w:rFonts w:ascii="Arial" w:cs="Arial" w:eastAsia="Arial" w:hAnsi="Arial"/>
          <w:sz w:val="20"/>
          <w:szCs w:val="20"/>
          <w:color w:val="auto"/>
        </w:rPr>
      </w:pPr>
      <w:r>
        <w:rPr>
          <w:rFonts w:ascii="Arial" w:cs="Arial" w:eastAsia="Arial" w:hAnsi="Arial"/>
          <w:sz w:val="20"/>
          <w:szCs w:val="20"/>
          <w:color w:val="auto"/>
        </w:rPr>
        <w:t>Section 3.05(b)through Section 3.05(d)above with respect to notice of, and participation in, meetings of the Board shall apply also to meetings of committees, unless different provisions shall be prescribed by the Board. Each committee shall serve at the pleasure of the Board. It shall keep minutes of its meetings and report the same to the Board when required and shall observe such procedures as are prescribed by the Board.</w:t>
      </w:r>
    </w:p>
    <w:p>
      <w:pPr>
        <w:spacing w:after="0" w:line="174" w:lineRule="exact"/>
        <w:rPr>
          <w:rFonts w:ascii="Arial" w:cs="Arial" w:eastAsia="Arial" w:hAnsi="Arial"/>
          <w:sz w:val="20"/>
          <w:szCs w:val="20"/>
          <w:color w:val="auto"/>
        </w:rPr>
      </w:pPr>
    </w:p>
    <w:p>
      <w:pPr>
        <w:jc w:val="both"/>
        <w:ind w:left="40" w:right="79" w:firstLine="652"/>
        <w:spacing w:after="0" w:line="237" w:lineRule="auto"/>
        <w:tabs>
          <w:tab w:leader="none" w:pos="1336" w:val="left"/>
        </w:tabs>
        <w:numPr>
          <w:ilvl w:val="0"/>
          <w:numId w:val="238"/>
        </w:numPr>
        <w:rPr>
          <w:rFonts w:ascii="Arial" w:cs="Arial" w:eastAsia="Arial" w:hAnsi="Arial"/>
          <w:sz w:val="20"/>
          <w:szCs w:val="20"/>
          <w:color w:val="auto"/>
        </w:rPr>
      </w:pPr>
      <w:r>
        <w:rPr>
          <w:rFonts w:ascii="Arial" w:cs="Arial" w:eastAsia="Arial" w:hAnsi="Arial"/>
          <w:sz w:val="20"/>
          <w:szCs w:val="20"/>
          <w:color w:val="auto"/>
        </w:rPr>
        <w:t>Any committee of the Board, to the extent provided by the provisions set forth herein but subject to any limitation imposed by the Swiss Code of Obligations or other applicable law, shall have and may exercise all the powers and authority of the Board in the management of the business and affairs of the Company.</w:t>
      </w:r>
    </w:p>
    <w:p>
      <w:pPr>
        <w:spacing w:after="0" w:line="172" w:lineRule="exact"/>
        <w:rPr>
          <w:sz w:val="20"/>
          <w:szCs w:val="20"/>
          <w:color w:val="auto"/>
        </w:rPr>
      </w:pPr>
    </w:p>
    <w:p>
      <w:pPr>
        <w:ind w:left="160" w:right="459" w:firstLine="648"/>
        <w:spacing w:after="0" w:line="241" w:lineRule="auto"/>
        <w:rPr>
          <w:sz w:val="20"/>
          <w:szCs w:val="20"/>
          <w:color w:val="auto"/>
        </w:rPr>
      </w:pPr>
      <w:r>
        <w:rPr>
          <w:rFonts w:ascii="Arial" w:cs="Arial" w:eastAsia="Arial" w:hAnsi="Arial"/>
          <w:sz w:val="20"/>
          <w:szCs w:val="20"/>
          <w:color w:val="auto"/>
        </w:rPr>
        <w:t xml:space="preserve">Section 6.02. </w:t>
      </w:r>
      <w:r>
        <w:rPr>
          <w:rFonts w:ascii="Arial" w:cs="Arial" w:eastAsia="Arial" w:hAnsi="Arial"/>
          <w:sz w:val="20"/>
          <w:szCs w:val="20"/>
          <w:i w:val="1"/>
          <w:iCs w:val="1"/>
          <w:color w:val="auto"/>
        </w:rPr>
        <w:t>Individual Committees.</w:t>
      </w:r>
      <w:r>
        <w:rPr>
          <w:rFonts w:ascii="Arial" w:cs="Arial" w:eastAsia="Arial" w:hAnsi="Arial"/>
          <w:sz w:val="20"/>
          <w:szCs w:val="20"/>
          <w:color w:val="auto"/>
        </w:rPr>
        <w:t xml:space="preserve"> The committees of the Board shall be (i) the Audit Committee, (ii) the Compensation Committee and (iii) the Governance, Safety &amp; Environment Committee, and any other committees designated by the Board.</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ARTICLE 7</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C</w:t>
      </w:r>
      <w:r>
        <w:rPr>
          <w:rFonts w:ascii="Arial" w:cs="Arial" w:eastAsia="Arial" w:hAnsi="Arial"/>
          <w:sz w:val="13"/>
          <w:szCs w:val="13"/>
          <w:b w:val="1"/>
          <w:bCs w:val="1"/>
          <w:color w:val="auto"/>
        </w:rPr>
        <w:t>hief</w:t>
      </w:r>
      <w:r>
        <w:rPr>
          <w:rFonts w:ascii="Arial" w:cs="Arial" w:eastAsia="Arial" w:hAnsi="Arial"/>
          <w:sz w:val="20"/>
          <w:szCs w:val="20"/>
          <w:b w:val="1"/>
          <w:bCs w:val="1"/>
          <w:color w:val="auto"/>
        </w:rPr>
        <w:t xml:space="preserve"> E</w:t>
      </w:r>
      <w:r>
        <w:rPr>
          <w:rFonts w:ascii="Arial" w:cs="Arial" w:eastAsia="Arial" w:hAnsi="Arial"/>
          <w:sz w:val="13"/>
          <w:szCs w:val="13"/>
          <w:b w:val="1"/>
          <w:bCs w:val="1"/>
          <w:color w:val="auto"/>
        </w:rPr>
        <w:t>xecutive</w:t>
      </w:r>
      <w:r>
        <w:rPr>
          <w:rFonts w:ascii="Arial" w:cs="Arial" w:eastAsia="Arial" w:hAnsi="Arial"/>
          <w:sz w:val="20"/>
          <w:szCs w:val="20"/>
          <w:b w:val="1"/>
          <w:bCs w:val="1"/>
          <w:color w:val="auto"/>
        </w:rPr>
        <w:t xml:space="preserve"> O</w:t>
      </w:r>
      <w:r>
        <w:rPr>
          <w:rFonts w:ascii="Arial" w:cs="Arial" w:eastAsia="Arial" w:hAnsi="Arial"/>
          <w:sz w:val="13"/>
          <w:szCs w:val="13"/>
          <w:b w:val="1"/>
          <w:bCs w:val="1"/>
          <w:color w:val="auto"/>
        </w:rPr>
        <w:t>fficer</w:t>
      </w:r>
    </w:p>
    <w:p>
      <w:pPr>
        <w:spacing w:after="0" w:line="76" w:lineRule="exact"/>
        <w:rPr>
          <w:sz w:val="20"/>
          <w:szCs w:val="20"/>
          <w:color w:val="auto"/>
        </w:rPr>
      </w:pPr>
    </w:p>
    <w:p>
      <w:pPr>
        <w:jc w:val="both"/>
        <w:ind w:left="160" w:right="79" w:firstLine="648"/>
        <w:spacing w:after="0" w:line="234" w:lineRule="auto"/>
        <w:rPr>
          <w:sz w:val="20"/>
          <w:szCs w:val="20"/>
          <w:color w:val="auto"/>
        </w:rPr>
      </w:pPr>
      <w:r>
        <w:rPr>
          <w:rFonts w:ascii="Arial" w:cs="Arial" w:eastAsia="Arial" w:hAnsi="Arial"/>
          <w:sz w:val="20"/>
          <w:szCs w:val="20"/>
          <w:color w:val="auto"/>
        </w:rPr>
        <w:t xml:space="preserve">Section 7.01. </w:t>
      </w:r>
      <w:r>
        <w:rPr>
          <w:rFonts w:ascii="Arial" w:cs="Arial" w:eastAsia="Arial" w:hAnsi="Arial"/>
          <w:sz w:val="20"/>
          <w:szCs w:val="20"/>
          <w:i w:val="1"/>
          <w:iCs w:val="1"/>
          <w:color w:val="auto"/>
        </w:rPr>
        <w:t>Powers and Duties.</w:t>
      </w:r>
      <w:r>
        <w:rPr>
          <w:rFonts w:ascii="Arial" w:cs="Arial" w:eastAsia="Arial" w:hAnsi="Arial"/>
          <w:sz w:val="20"/>
          <w:szCs w:val="20"/>
          <w:color w:val="auto"/>
        </w:rPr>
        <w:t xml:space="preserve"> Subject to applicable law, regulations and stock exchange rules, the Chief Executive Officer shall have the primary responsibility for the day-to-day executive management of the Company. If the President shall not be designated the Chief Executive Officer of the Company, such President shall have such authority and perform such duties as may be prescribed from time to time by the Board or the Chief Executive Officer.</w:t>
      </w:r>
    </w:p>
    <w:p>
      <w:pPr>
        <w:spacing w:after="0" w:line="67" w:lineRule="exact"/>
        <w:rPr>
          <w:sz w:val="20"/>
          <w:szCs w:val="20"/>
          <w:color w:val="auto"/>
        </w:rPr>
      </w:pPr>
    </w:p>
    <w:p>
      <w:pPr>
        <w:jc w:val="both"/>
        <w:ind w:left="160" w:right="79" w:firstLine="648"/>
        <w:spacing w:after="0" w:line="241" w:lineRule="auto"/>
        <w:rPr>
          <w:sz w:val="20"/>
          <w:szCs w:val="20"/>
          <w:color w:val="auto"/>
        </w:rPr>
      </w:pPr>
      <w:r>
        <w:rPr>
          <w:rFonts w:ascii="Arial" w:cs="Arial" w:eastAsia="Arial" w:hAnsi="Arial"/>
          <w:sz w:val="20"/>
          <w:szCs w:val="20"/>
          <w:color w:val="auto"/>
        </w:rPr>
        <w:t xml:space="preserve">Section 7.02. </w:t>
      </w:r>
      <w:r>
        <w:rPr>
          <w:rFonts w:ascii="Arial" w:cs="Arial" w:eastAsia="Arial" w:hAnsi="Arial"/>
          <w:sz w:val="20"/>
          <w:szCs w:val="20"/>
          <w:i w:val="1"/>
          <w:iCs w:val="1"/>
          <w:color w:val="auto"/>
        </w:rPr>
        <w:t>Reporting.</w:t>
      </w:r>
      <w:r>
        <w:rPr>
          <w:rFonts w:ascii="Arial" w:cs="Arial" w:eastAsia="Arial" w:hAnsi="Arial"/>
          <w:sz w:val="20"/>
          <w:szCs w:val="20"/>
          <w:color w:val="auto"/>
        </w:rPr>
        <w:t xml:space="preserve"> The Chief Executive Officer shall directly report to the Board and regularly inform the Board on the current course of business and all major business matters of the Company.</w:t>
      </w:r>
    </w:p>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ARTICLE 8</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O</w:t>
      </w:r>
      <w:r>
        <w:rPr>
          <w:rFonts w:ascii="Arial" w:cs="Arial" w:eastAsia="Arial" w:hAnsi="Arial"/>
          <w:sz w:val="13"/>
          <w:szCs w:val="13"/>
          <w:b w:val="1"/>
          <w:bCs w:val="1"/>
          <w:color w:val="auto"/>
        </w:rPr>
        <w:t>fficers</w:t>
      </w:r>
      <w:r>
        <w:rPr>
          <w:rFonts w:ascii="Arial" w:cs="Arial" w:eastAsia="Arial" w:hAnsi="Arial"/>
          <w:sz w:val="20"/>
          <w:szCs w:val="20"/>
          <w:b w:val="1"/>
          <w:bCs w:val="1"/>
          <w:color w:val="auto"/>
        </w:rPr>
        <w:t xml:space="preserve"> | E</w:t>
      </w:r>
      <w:r>
        <w:rPr>
          <w:rFonts w:ascii="Arial" w:cs="Arial" w:eastAsia="Arial" w:hAnsi="Arial"/>
          <w:sz w:val="13"/>
          <w:szCs w:val="13"/>
          <w:b w:val="1"/>
          <w:bCs w:val="1"/>
          <w:color w:val="auto"/>
        </w:rPr>
        <w:t>xecutive</w:t>
      </w:r>
      <w:r>
        <w:rPr>
          <w:rFonts w:ascii="Arial" w:cs="Arial" w:eastAsia="Arial" w:hAnsi="Arial"/>
          <w:sz w:val="20"/>
          <w:szCs w:val="20"/>
          <w:b w:val="1"/>
          <w:bCs w:val="1"/>
          <w:color w:val="auto"/>
        </w:rPr>
        <w:t xml:space="preserve"> M</w:t>
      </w:r>
      <w:r>
        <w:rPr>
          <w:rFonts w:ascii="Arial" w:cs="Arial" w:eastAsia="Arial" w:hAnsi="Arial"/>
          <w:sz w:val="13"/>
          <w:szCs w:val="13"/>
          <w:b w:val="1"/>
          <w:bCs w:val="1"/>
          <w:color w:val="auto"/>
        </w:rPr>
        <w:t>anagement</w:t>
      </w:r>
      <w:r>
        <w:rPr>
          <w:rFonts w:ascii="Arial" w:cs="Arial" w:eastAsia="Arial" w:hAnsi="Arial"/>
          <w:sz w:val="20"/>
          <w:szCs w:val="20"/>
          <w:b w:val="1"/>
          <w:bCs w:val="1"/>
          <w:color w:val="auto"/>
        </w:rPr>
        <w:t xml:space="preserve"> T</w:t>
      </w:r>
      <w:r>
        <w:rPr>
          <w:rFonts w:ascii="Arial" w:cs="Arial" w:eastAsia="Arial" w:hAnsi="Arial"/>
          <w:sz w:val="13"/>
          <w:szCs w:val="13"/>
          <w:b w:val="1"/>
          <w:bCs w:val="1"/>
          <w:color w:val="auto"/>
        </w:rPr>
        <w:t>eam</w:t>
      </w:r>
    </w:p>
    <w:p>
      <w:pPr>
        <w:spacing w:after="0" w:line="76" w:lineRule="exact"/>
        <w:rPr>
          <w:sz w:val="20"/>
          <w:szCs w:val="20"/>
          <w:color w:val="auto"/>
        </w:rPr>
      </w:pPr>
    </w:p>
    <w:p>
      <w:pPr>
        <w:jc w:val="both"/>
        <w:ind w:left="160" w:right="79" w:firstLine="648"/>
        <w:spacing w:after="0" w:line="257" w:lineRule="auto"/>
        <w:rPr>
          <w:sz w:val="20"/>
          <w:szCs w:val="20"/>
          <w:color w:val="auto"/>
        </w:rPr>
      </w:pPr>
      <w:r>
        <w:rPr>
          <w:rFonts w:ascii="Arial" w:cs="Arial" w:eastAsia="Arial" w:hAnsi="Arial"/>
          <w:sz w:val="20"/>
          <w:szCs w:val="20"/>
          <w:color w:val="auto"/>
        </w:rPr>
        <w:t xml:space="preserve">Section 8.01. </w:t>
      </w:r>
      <w:r>
        <w:rPr>
          <w:rFonts w:ascii="Arial" w:cs="Arial" w:eastAsia="Arial" w:hAnsi="Arial"/>
          <w:sz w:val="20"/>
          <w:szCs w:val="20"/>
          <w:i w:val="1"/>
          <w:iCs w:val="1"/>
          <w:color w:val="auto"/>
        </w:rPr>
        <w:t>Officers.</w:t>
      </w:r>
      <w:r>
        <w:rPr>
          <w:rFonts w:ascii="Arial" w:cs="Arial" w:eastAsia="Arial" w:hAnsi="Arial"/>
          <w:sz w:val="20"/>
          <w:szCs w:val="20"/>
          <w:color w:val="auto"/>
        </w:rPr>
        <w:t xml:space="preserve"> The officers of the Company shall be appointed by the Board and shall include a Chief Executive Officer, a President and one or more Vice Presidents (who may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472440</wp:posOffset>
            </wp:positionV>
            <wp:extent cx="5648960" cy="2603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5648960" cy="26035"/>
                    </a:xfrm>
                    <a:prstGeom prst="rect">
                      <a:avLst/>
                    </a:prstGeom>
                    <a:noFill/>
                  </pic:spPr>
                </pic:pic>
              </a:graphicData>
            </a:graphic>
          </wp:anchor>
        </w:drawing>
      </w:r>
    </w:p>
    <w:p>
      <w:pPr>
        <w:sectPr>
          <w:pgSz w:w="11900" w:h="16838" w:orient="portrait"/>
          <w:cols w:equalWidth="0" w:num="1">
            <w:col w:w="9019"/>
          </w:cols>
          <w:pgMar w:left="1440" w:top="670" w:right="1440" w:bottom="1440" w:gutter="0" w:footer="0" w:header="0"/>
        </w:sectPr>
      </w:pPr>
    </w:p>
    <w:bookmarkStart w:id="72" w:name="page73"/>
    <w:bookmarkEnd w:id="72"/>
    <w:p>
      <w:pPr>
        <w:ind w:left="8860"/>
        <w:spacing w:after="0"/>
        <w:rPr>
          <w:sz w:val="20"/>
          <w:szCs w:val="20"/>
          <w:color w:val="auto"/>
        </w:rPr>
      </w:pPr>
      <w:r>
        <w:rPr>
          <w:rFonts w:ascii="Arial" w:cs="Arial" w:eastAsia="Arial" w:hAnsi="Arial"/>
          <w:sz w:val="14"/>
          <w:szCs w:val="14"/>
          <w:color w:val="auto"/>
        </w:rPr>
        <w:t>9</w:t>
      </w:r>
    </w:p>
    <w:p>
      <w:pPr>
        <w:spacing w:after="0" w:line="205" w:lineRule="exact"/>
        <w:rPr>
          <w:sz w:val="20"/>
          <w:szCs w:val="20"/>
          <w:color w:val="auto"/>
        </w:rPr>
      </w:pPr>
    </w:p>
    <w:p>
      <w:pPr>
        <w:jc w:val="both"/>
        <w:ind w:left="40" w:right="79"/>
        <w:spacing w:after="0" w:line="233" w:lineRule="auto"/>
        <w:rPr>
          <w:sz w:val="20"/>
          <w:szCs w:val="20"/>
          <w:color w:val="auto"/>
        </w:rPr>
      </w:pPr>
      <w:r>
        <w:rPr>
          <w:rFonts w:ascii="Arial" w:cs="Arial" w:eastAsia="Arial" w:hAnsi="Arial"/>
          <w:sz w:val="20"/>
          <w:szCs w:val="20"/>
          <w:color w:val="auto"/>
        </w:rPr>
        <w:t>further classified by such descriptions as "Executive," "Senior" or "Assistant" as determined by the Board), and such other officers, as the Board may deem necessary or appropriate. The Board may from time to time authorize any officer to appoint and remove any other officer or agent and to prescribe such person's authority and duties. Any person may hold at one time two or more offices. Each officer shall have such authority and perform such duties, in addition to those specified in these Organizational Regulations, as may be prescribed by the Board from time to time.</w:t>
      </w:r>
    </w:p>
    <w:p>
      <w:pPr>
        <w:spacing w:after="0" w:line="64" w:lineRule="exact"/>
        <w:rPr>
          <w:sz w:val="20"/>
          <w:szCs w:val="20"/>
          <w:color w:val="auto"/>
        </w:rPr>
      </w:pPr>
    </w:p>
    <w:p>
      <w:pPr>
        <w:jc w:val="both"/>
        <w:ind w:left="160" w:right="79" w:firstLine="648"/>
        <w:spacing w:after="0" w:line="234" w:lineRule="auto"/>
        <w:rPr>
          <w:sz w:val="20"/>
          <w:szCs w:val="20"/>
          <w:color w:val="auto"/>
        </w:rPr>
      </w:pPr>
      <w:r>
        <w:rPr>
          <w:rFonts w:ascii="Arial" w:cs="Arial" w:eastAsia="Arial" w:hAnsi="Arial"/>
          <w:sz w:val="20"/>
          <w:szCs w:val="20"/>
          <w:color w:val="auto"/>
        </w:rPr>
        <w:t xml:space="preserve">Section 8.02. </w:t>
      </w:r>
      <w:r>
        <w:rPr>
          <w:rFonts w:ascii="Arial" w:cs="Arial" w:eastAsia="Arial" w:hAnsi="Arial"/>
          <w:sz w:val="20"/>
          <w:szCs w:val="20"/>
          <w:i w:val="1"/>
          <w:iCs w:val="1"/>
          <w:color w:val="auto"/>
        </w:rPr>
        <w:t>Executive Management Team.</w:t>
      </w:r>
      <w:r>
        <w:rPr>
          <w:rFonts w:ascii="Arial" w:cs="Arial" w:eastAsia="Arial" w:hAnsi="Arial"/>
          <w:sz w:val="20"/>
          <w:szCs w:val="20"/>
          <w:color w:val="auto"/>
        </w:rPr>
        <w:t xml:space="preserve"> The Executive Management Team shall include the Chief Executive Officer and such other officer expressly designated by the Board to be a member of the Executive Management Team. Under the direction of the Chief Executive Officer, the Executive Management Team shall have the primary responsibility to make significant operational decisions to implement the Company’s strategic objectives.</w:t>
      </w:r>
    </w:p>
    <w:p>
      <w:pPr>
        <w:spacing w:after="0" w:line="67" w:lineRule="exact"/>
        <w:rPr>
          <w:sz w:val="20"/>
          <w:szCs w:val="20"/>
          <w:color w:val="auto"/>
        </w:rPr>
      </w:pPr>
    </w:p>
    <w:p>
      <w:pPr>
        <w:jc w:val="both"/>
        <w:ind w:left="160" w:right="79" w:firstLine="648"/>
        <w:spacing w:after="0" w:line="231" w:lineRule="auto"/>
        <w:rPr>
          <w:sz w:val="20"/>
          <w:szCs w:val="20"/>
          <w:color w:val="auto"/>
        </w:rPr>
      </w:pPr>
      <w:r>
        <w:rPr>
          <w:rFonts w:ascii="Arial" w:cs="Arial" w:eastAsia="Arial" w:hAnsi="Arial"/>
          <w:sz w:val="20"/>
          <w:szCs w:val="20"/>
          <w:color w:val="auto"/>
        </w:rPr>
        <w:t xml:space="preserve">Section 8.03. </w:t>
      </w:r>
      <w:r>
        <w:rPr>
          <w:rFonts w:ascii="Arial" w:cs="Arial" w:eastAsia="Arial" w:hAnsi="Arial"/>
          <w:sz w:val="20"/>
          <w:szCs w:val="20"/>
          <w:i w:val="1"/>
          <w:iCs w:val="1"/>
          <w:color w:val="auto"/>
        </w:rPr>
        <w:t>Term of Office.</w:t>
      </w:r>
      <w:r>
        <w:rPr>
          <w:rFonts w:ascii="Arial" w:cs="Arial" w:eastAsia="Arial" w:hAnsi="Arial"/>
          <w:sz w:val="20"/>
          <w:szCs w:val="20"/>
          <w:color w:val="auto"/>
        </w:rPr>
        <w:t xml:space="preserve"> Each officer shall hold office for the term for which appointed by the Board, and until the person's successor has been appointed and qualified or until such person's earlier resignation or removal. Any officer may be removed by the Board, with or without cause. The election or appointment of an officer shall not in and of itself create contractual rights against the Company. Any officer may resign at any time by giving written notice to the Board or the Secretary. Any such resignation shall take effect at the time specified therein or, if such time is not specified therein, then upon receipt of such notice, and, unless otherwise specified therein, the acceptance of such resignation shall not be necessary to make it effective.</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ARTICLE 9</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F</w:t>
      </w:r>
      <w:r>
        <w:rPr>
          <w:rFonts w:ascii="Arial" w:cs="Arial" w:eastAsia="Arial" w:hAnsi="Arial"/>
          <w:sz w:val="13"/>
          <w:szCs w:val="13"/>
          <w:b w:val="1"/>
          <w:bCs w:val="1"/>
          <w:color w:val="auto"/>
        </w:rPr>
        <w:t>iscal</w:t>
      </w:r>
      <w:r>
        <w:rPr>
          <w:rFonts w:ascii="Arial" w:cs="Arial" w:eastAsia="Arial" w:hAnsi="Arial"/>
          <w:sz w:val="20"/>
          <w:szCs w:val="20"/>
          <w:b w:val="1"/>
          <w:bCs w:val="1"/>
          <w:color w:val="auto"/>
        </w:rPr>
        <w:t xml:space="preserve"> Y</w:t>
      </w:r>
      <w:r>
        <w:rPr>
          <w:rFonts w:ascii="Arial" w:cs="Arial" w:eastAsia="Arial" w:hAnsi="Arial"/>
          <w:sz w:val="13"/>
          <w:szCs w:val="13"/>
          <w:b w:val="1"/>
          <w:bCs w:val="1"/>
          <w:color w:val="auto"/>
        </w:rPr>
        <w:t>ear</w:t>
      </w:r>
    </w:p>
    <w:p>
      <w:pPr>
        <w:spacing w:after="0" w:line="184" w:lineRule="exact"/>
        <w:rPr>
          <w:sz w:val="20"/>
          <w:szCs w:val="20"/>
          <w:color w:val="auto"/>
        </w:rPr>
      </w:pPr>
    </w:p>
    <w:p>
      <w:pPr>
        <w:ind w:left="160" w:right="299" w:firstLine="648"/>
        <w:spacing w:after="0" w:line="257" w:lineRule="auto"/>
        <w:rPr>
          <w:sz w:val="20"/>
          <w:szCs w:val="20"/>
          <w:color w:val="auto"/>
        </w:rPr>
      </w:pPr>
      <w:r>
        <w:rPr>
          <w:rFonts w:ascii="Arial" w:cs="Arial" w:eastAsia="Arial" w:hAnsi="Arial"/>
          <w:sz w:val="20"/>
          <w:szCs w:val="20"/>
          <w:color w:val="auto"/>
        </w:rPr>
        <w:t xml:space="preserve">Section 9.01. </w:t>
      </w:r>
      <w:r>
        <w:rPr>
          <w:rFonts w:ascii="Arial" w:cs="Arial" w:eastAsia="Arial" w:hAnsi="Arial"/>
          <w:sz w:val="20"/>
          <w:szCs w:val="20"/>
          <w:i w:val="1"/>
          <w:iCs w:val="1"/>
          <w:color w:val="auto"/>
        </w:rPr>
        <w:t>Determination.</w:t>
      </w:r>
      <w:r>
        <w:rPr>
          <w:rFonts w:ascii="Arial" w:cs="Arial" w:eastAsia="Arial" w:hAnsi="Arial"/>
          <w:sz w:val="20"/>
          <w:szCs w:val="20"/>
          <w:color w:val="auto"/>
        </w:rPr>
        <w:t xml:space="preserve"> The fiscal year of the Company shall start on January 1 and end on December 31.</w:t>
      </w:r>
    </w:p>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ARTICLE 10</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G</w:t>
      </w:r>
      <w:r>
        <w:rPr>
          <w:rFonts w:ascii="Arial" w:cs="Arial" w:eastAsia="Arial" w:hAnsi="Arial"/>
          <w:sz w:val="13"/>
          <w:szCs w:val="13"/>
          <w:b w:val="1"/>
          <w:bCs w:val="1"/>
          <w:color w:val="auto"/>
        </w:rPr>
        <w:t>eneral</w:t>
      </w:r>
      <w:r>
        <w:rPr>
          <w:rFonts w:ascii="Arial" w:cs="Arial" w:eastAsia="Arial" w:hAnsi="Arial"/>
          <w:sz w:val="20"/>
          <w:szCs w:val="20"/>
          <w:b w:val="1"/>
          <w:bCs w:val="1"/>
          <w:color w:val="auto"/>
        </w:rPr>
        <w:t xml:space="preserve"> P</w:t>
      </w:r>
      <w:r>
        <w:rPr>
          <w:rFonts w:ascii="Arial" w:cs="Arial" w:eastAsia="Arial" w:hAnsi="Arial"/>
          <w:sz w:val="13"/>
          <w:szCs w:val="13"/>
          <w:b w:val="1"/>
          <w:bCs w:val="1"/>
          <w:color w:val="auto"/>
        </w:rPr>
        <w:t>rovisions</w:t>
      </w:r>
    </w:p>
    <w:p>
      <w:pPr>
        <w:spacing w:after="0" w:line="184" w:lineRule="exact"/>
        <w:rPr>
          <w:sz w:val="20"/>
          <w:szCs w:val="20"/>
          <w:color w:val="auto"/>
        </w:rPr>
      </w:pPr>
    </w:p>
    <w:p>
      <w:pPr>
        <w:ind w:left="160" w:right="539" w:firstLine="648"/>
        <w:spacing w:after="0" w:line="241" w:lineRule="auto"/>
        <w:rPr>
          <w:sz w:val="20"/>
          <w:szCs w:val="20"/>
          <w:color w:val="auto"/>
        </w:rPr>
      </w:pPr>
      <w:r>
        <w:rPr>
          <w:rFonts w:ascii="Arial" w:cs="Arial" w:eastAsia="Arial" w:hAnsi="Arial"/>
          <w:sz w:val="20"/>
          <w:szCs w:val="20"/>
          <w:color w:val="auto"/>
        </w:rPr>
        <w:t>Section 10.01.</w:t>
      </w:r>
      <w:r>
        <w:rPr>
          <w:rFonts w:ascii="Arial" w:cs="Arial" w:eastAsia="Arial" w:hAnsi="Arial"/>
          <w:sz w:val="20"/>
          <w:szCs w:val="20"/>
          <w:i w:val="1"/>
          <w:iCs w:val="1"/>
          <w:color w:val="auto"/>
        </w:rPr>
        <w:t>Signatory Power.</w:t>
      </w:r>
      <w:r>
        <w:rPr>
          <w:rFonts w:ascii="Arial" w:cs="Arial" w:eastAsia="Arial" w:hAnsi="Arial"/>
          <w:sz w:val="20"/>
          <w:szCs w:val="20"/>
          <w:color w:val="auto"/>
        </w:rPr>
        <w:t xml:space="preserve"> The Directors, officers and other persons authorized to represent the Company and the Subsidiaries shall have single or joint signatory power, as determined appropriate by the Board.</w:t>
      </w:r>
    </w:p>
    <w:p>
      <w:pPr>
        <w:spacing w:after="0" w:line="171" w:lineRule="exact"/>
        <w:rPr>
          <w:sz w:val="20"/>
          <w:szCs w:val="20"/>
          <w:color w:val="auto"/>
        </w:rPr>
      </w:pPr>
    </w:p>
    <w:p>
      <w:pPr>
        <w:ind w:left="700" w:right="1679" w:firstLine="118"/>
        <w:spacing w:after="0" w:line="450" w:lineRule="auto"/>
        <w:rPr>
          <w:sz w:val="20"/>
          <w:szCs w:val="20"/>
          <w:color w:val="auto"/>
        </w:rPr>
      </w:pPr>
      <w:r>
        <w:rPr>
          <w:rFonts w:ascii="Arial" w:cs="Arial" w:eastAsia="Arial" w:hAnsi="Arial"/>
          <w:sz w:val="20"/>
          <w:szCs w:val="20"/>
          <w:color w:val="auto"/>
        </w:rPr>
        <w:t>Section 10.02.</w:t>
      </w:r>
      <w:r>
        <w:rPr>
          <w:rFonts w:ascii="Arial" w:cs="Arial" w:eastAsia="Arial" w:hAnsi="Arial"/>
          <w:sz w:val="20"/>
          <w:szCs w:val="20"/>
          <w:i w:val="1"/>
          <w:iCs w:val="1"/>
          <w:color w:val="auto"/>
        </w:rPr>
        <w:t>Conduct of the Board and the Executive Management Team</w:t>
      </w:r>
      <w:r>
        <w:rPr>
          <w:rFonts w:ascii="Arial" w:cs="Arial" w:eastAsia="Arial" w:hAnsi="Arial"/>
          <w:sz w:val="20"/>
          <w:szCs w:val="20"/>
          <w:color w:val="auto"/>
        </w:rPr>
        <w:t xml:space="preserve"> </w:t>
      </w:r>
      <w:r>
        <w:rPr>
          <w:rFonts w:ascii="Arial" w:cs="Arial" w:eastAsia="Arial" w:hAnsi="Arial"/>
          <w:sz w:val="20"/>
          <w:szCs w:val="20"/>
          <w:u w:val="single" w:color="auto"/>
          <w:color w:val="auto"/>
        </w:rPr>
        <w:t>General</w:t>
      </w:r>
      <w:r>
        <w:rPr>
          <w:rFonts w:ascii="Arial" w:cs="Arial" w:eastAsia="Arial" w:hAnsi="Arial"/>
          <w:sz w:val="20"/>
          <w:szCs w:val="20"/>
          <w:color w:val="auto"/>
        </w:rPr>
        <w:t>:</w:t>
      </w:r>
    </w:p>
    <w:p>
      <w:pPr>
        <w:spacing w:after="0" w:line="2" w:lineRule="exact"/>
        <w:rPr>
          <w:sz w:val="20"/>
          <w:szCs w:val="20"/>
          <w:color w:val="auto"/>
        </w:rPr>
      </w:pPr>
    </w:p>
    <w:p>
      <w:pPr>
        <w:jc w:val="both"/>
        <w:ind w:left="40" w:right="79" w:firstLine="652"/>
        <w:spacing w:after="0" w:line="239" w:lineRule="auto"/>
        <w:tabs>
          <w:tab w:leader="none" w:pos="1336" w:val="left"/>
        </w:tabs>
        <w:numPr>
          <w:ilvl w:val="1"/>
          <w:numId w:val="239"/>
        </w:numPr>
        <w:rPr>
          <w:rFonts w:ascii="Arial" w:cs="Arial" w:eastAsia="Arial" w:hAnsi="Arial"/>
          <w:sz w:val="19"/>
          <w:szCs w:val="19"/>
          <w:color w:val="auto"/>
        </w:rPr>
      </w:pPr>
      <w:r>
        <w:rPr>
          <w:rFonts w:ascii="Arial" w:cs="Arial" w:eastAsia="Arial" w:hAnsi="Arial"/>
          <w:sz w:val="19"/>
          <w:szCs w:val="19"/>
          <w:color w:val="auto"/>
        </w:rPr>
        <w:t xml:space="preserve">Subject to the Articles of Association and the Corporate Governance Guidelines, a Director may hold any other office (other than as an outside auditor of the Company) or place of profit under the Company in conjunction with his office of Director for such period and on such terms as to remuneration and otherwise as the Board may determine. A Director may act by himself or for his firm in a professional capacity for the Company (other than as an outside auditor of the Company), and he or his firm shall be entitled to remuneration for professional services as if he were not a Director; </w:t>
      </w:r>
      <w:r>
        <w:rPr>
          <w:rFonts w:ascii="Arial" w:cs="Arial" w:eastAsia="Arial" w:hAnsi="Arial"/>
          <w:sz w:val="19"/>
          <w:szCs w:val="19"/>
          <w:i w:val="1"/>
          <w:iCs w:val="1"/>
          <w:color w:val="auto"/>
        </w:rPr>
        <w:t>provided, however</w:t>
      </w:r>
      <w:r>
        <w:rPr>
          <w:rFonts w:ascii="Arial" w:cs="Arial" w:eastAsia="Arial" w:hAnsi="Arial"/>
          <w:sz w:val="19"/>
          <w:szCs w:val="19"/>
          <w:color w:val="auto"/>
        </w:rPr>
        <w:t>, that (i) he has disclosed his interest in the transaction at the first meeting held to</w:t>
      </w:r>
      <w:r>
        <w:rPr>
          <w:rFonts w:ascii="Arial" w:cs="Arial" w:eastAsia="Arial" w:hAnsi="Arial"/>
          <w:sz w:val="19"/>
          <w:szCs w:val="19"/>
          <w:i w:val="1"/>
          <w:iCs w:val="1"/>
          <w:color w:val="auto"/>
        </w:rPr>
        <w:t xml:space="preserve"> </w:t>
      </w:r>
      <w:r>
        <w:rPr>
          <w:rFonts w:ascii="Arial" w:cs="Arial" w:eastAsia="Arial" w:hAnsi="Arial"/>
          <w:sz w:val="19"/>
          <w:szCs w:val="19"/>
          <w:color w:val="auto"/>
        </w:rPr>
        <w:t>consider the transaction or as soon thereafter as he becomes interested in the transaction, and</w:t>
      </w:r>
    </w:p>
    <w:p>
      <w:pPr>
        <w:spacing w:after="0" w:line="5" w:lineRule="exact"/>
        <w:rPr>
          <w:rFonts w:ascii="Arial" w:cs="Arial" w:eastAsia="Arial" w:hAnsi="Arial"/>
          <w:sz w:val="19"/>
          <w:szCs w:val="19"/>
          <w:color w:val="auto"/>
        </w:rPr>
      </w:pPr>
    </w:p>
    <w:p>
      <w:pPr>
        <w:ind w:left="40" w:right="99" w:firstLine="4"/>
        <w:spacing w:after="0" w:line="239" w:lineRule="auto"/>
        <w:tabs>
          <w:tab w:leader="none" w:pos="334" w:val="left"/>
        </w:tabs>
        <w:numPr>
          <w:ilvl w:val="0"/>
          <w:numId w:val="240"/>
        </w:numPr>
        <w:rPr>
          <w:rFonts w:ascii="Arial" w:cs="Arial" w:eastAsia="Arial" w:hAnsi="Arial"/>
          <w:sz w:val="20"/>
          <w:szCs w:val="20"/>
          <w:color w:val="auto"/>
        </w:rPr>
      </w:pPr>
      <w:r>
        <w:rPr>
          <w:rFonts w:ascii="Arial" w:cs="Arial" w:eastAsia="Arial" w:hAnsi="Arial"/>
          <w:sz w:val="20"/>
          <w:szCs w:val="20"/>
          <w:color w:val="auto"/>
        </w:rPr>
        <w:t>that any professional services by a Director or his firm for the account of the Company shall be made at arm's length terms.</w:t>
      </w:r>
    </w:p>
    <w:p>
      <w:pPr>
        <w:spacing w:after="0" w:line="171" w:lineRule="exact"/>
        <w:rPr>
          <w:rFonts w:ascii="Arial" w:cs="Arial" w:eastAsia="Arial" w:hAnsi="Arial"/>
          <w:sz w:val="20"/>
          <w:szCs w:val="20"/>
          <w:color w:val="auto"/>
        </w:rPr>
      </w:pPr>
    </w:p>
    <w:p>
      <w:pPr>
        <w:jc w:val="both"/>
        <w:ind w:left="40" w:right="79" w:firstLine="652"/>
        <w:spacing w:after="0" w:line="241" w:lineRule="auto"/>
        <w:tabs>
          <w:tab w:leader="none" w:pos="1336" w:val="left"/>
        </w:tabs>
        <w:numPr>
          <w:ilvl w:val="1"/>
          <w:numId w:val="240"/>
        </w:numPr>
        <w:rPr>
          <w:rFonts w:ascii="Arial" w:cs="Arial" w:eastAsia="Arial" w:hAnsi="Arial"/>
          <w:sz w:val="20"/>
          <w:szCs w:val="20"/>
          <w:color w:val="auto"/>
        </w:rPr>
      </w:pPr>
      <w:r>
        <w:rPr>
          <w:rFonts w:ascii="Arial" w:cs="Arial" w:eastAsia="Arial" w:hAnsi="Arial"/>
          <w:sz w:val="20"/>
          <w:szCs w:val="20"/>
          <w:color w:val="auto"/>
        </w:rPr>
        <w:t>Subject to any applicable law or regulation to the contrary, a Director may be or become a director or other officer of or otherwise interested in any company promoted by the Company or in which the Company may be interested as shareholder, member or otherwise, and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619760</wp:posOffset>
            </wp:positionV>
            <wp:extent cx="5648960" cy="2603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5648960" cy="26035"/>
                    </a:xfrm>
                    <a:prstGeom prst="rect">
                      <a:avLst/>
                    </a:prstGeom>
                    <a:noFill/>
                  </pic:spPr>
                </pic:pic>
              </a:graphicData>
            </a:graphic>
          </wp:anchor>
        </w:drawing>
      </w:r>
    </w:p>
    <w:p>
      <w:pPr>
        <w:sectPr>
          <w:pgSz w:w="11900" w:h="16838" w:orient="portrait"/>
          <w:cols w:equalWidth="0" w:num="1">
            <w:col w:w="9019"/>
          </w:cols>
          <w:pgMar w:left="1440" w:top="670" w:right="1440" w:bottom="1440" w:gutter="0" w:footer="0" w:header="0"/>
        </w:sectPr>
      </w:pPr>
    </w:p>
    <w:bookmarkStart w:id="73" w:name="page74"/>
    <w:bookmarkEnd w:id="73"/>
    <w:p>
      <w:pPr>
        <w:ind w:left="8780"/>
        <w:spacing w:after="0"/>
        <w:rPr>
          <w:sz w:val="20"/>
          <w:szCs w:val="20"/>
          <w:color w:val="auto"/>
        </w:rPr>
      </w:pPr>
      <w:r>
        <w:rPr>
          <w:rFonts w:ascii="Arial" w:cs="Arial" w:eastAsia="Arial" w:hAnsi="Arial"/>
          <w:sz w:val="14"/>
          <w:szCs w:val="14"/>
          <w:color w:val="auto"/>
        </w:rPr>
        <w:t>10</w:t>
      </w:r>
    </w:p>
    <w:p>
      <w:pPr>
        <w:spacing w:after="0" w:line="205" w:lineRule="exact"/>
        <w:rPr>
          <w:sz w:val="20"/>
          <w:szCs w:val="20"/>
          <w:color w:val="auto"/>
        </w:rPr>
      </w:pPr>
    </w:p>
    <w:p>
      <w:pPr>
        <w:jc w:val="both"/>
        <w:ind w:left="40" w:right="79"/>
        <w:spacing w:after="0" w:line="257" w:lineRule="auto"/>
        <w:rPr>
          <w:sz w:val="20"/>
          <w:szCs w:val="20"/>
          <w:color w:val="auto"/>
        </w:rPr>
      </w:pPr>
      <w:r>
        <w:rPr>
          <w:rFonts w:ascii="Arial" w:cs="Arial" w:eastAsia="Arial" w:hAnsi="Arial"/>
          <w:sz w:val="20"/>
          <w:szCs w:val="20"/>
          <w:color w:val="auto"/>
        </w:rPr>
        <w:t>such Director shall be accountable to the Company for any remuneration or other benefits received by him as a director or officer of, or from his interest in, such other company.</w:t>
      </w:r>
    </w:p>
    <w:p>
      <w:pPr>
        <w:spacing w:after="0" w:line="155" w:lineRule="exact"/>
        <w:rPr>
          <w:sz w:val="20"/>
          <w:szCs w:val="20"/>
          <w:color w:val="auto"/>
        </w:rPr>
      </w:pPr>
    </w:p>
    <w:p>
      <w:pPr>
        <w:jc w:val="both"/>
        <w:ind w:left="40" w:right="79"/>
        <w:spacing w:after="0" w:line="230" w:lineRule="auto"/>
        <w:rPr>
          <w:sz w:val="20"/>
          <w:szCs w:val="20"/>
          <w:color w:val="auto"/>
        </w:rPr>
      </w:pPr>
      <w:r>
        <w:rPr>
          <w:rFonts w:ascii="Arial" w:cs="Arial" w:eastAsia="Arial" w:hAnsi="Arial"/>
          <w:sz w:val="20"/>
          <w:szCs w:val="20"/>
          <w:color w:val="auto"/>
        </w:rPr>
        <w:t xml:space="preserve">Subject to any applicable law or regulation to the contrary, a Director shall not be disqualified from the office of Director or prevented by such office from contracting with the Company, either as vendor, purchaser or otherwise, nor shall any such contract or any contract or transaction entered into by or on behalf of the Company in which any Director shall be in any way interested or be liable to be avoided, nor shall any Director so contracting or being so interested be liable to account to the Company for any profit realized by any such contract or transaction by reason of such Director holding office or of the fiduciary relation thereby established; </w:t>
      </w:r>
      <w:r>
        <w:rPr>
          <w:rFonts w:ascii="Arial" w:cs="Arial" w:eastAsia="Arial" w:hAnsi="Arial"/>
          <w:sz w:val="20"/>
          <w:szCs w:val="20"/>
          <w:i w:val="1"/>
          <w:iCs w:val="1"/>
          <w:color w:val="auto"/>
        </w:rPr>
        <w:t>provided, however</w:t>
      </w:r>
      <w:r>
        <w:rPr>
          <w:rFonts w:ascii="Arial" w:cs="Arial" w:eastAsia="Arial" w:hAnsi="Arial"/>
          <w:sz w:val="20"/>
          <w:szCs w:val="20"/>
          <w:color w:val="auto"/>
        </w:rPr>
        <w:t>, that (i) he has disclosed his interest in the transaction at the first meeting held to consider the transaction or as soon thereafter as he becomes interested in the transaction and (ii) he complies with the duty to abstain as set forth below in Section 10.02(e)below.</w:t>
      </w:r>
    </w:p>
    <w:p>
      <w:pPr>
        <w:spacing w:after="0" w:line="172" w:lineRule="exact"/>
        <w:rPr>
          <w:sz w:val="20"/>
          <w:szCs w:val="20"/>
          <w:color w:val="auto"/>
        </w:rPr>
      </w:pPr>
    </w:p>
    <w:p>
      <w:pPr>
        <w:ind w:left="700"/>
        <w:spacing w:after="0"/>
        <w:rPr>
          <w:sz w:val="20"/>
          <w:szCs w:val="20"/>
          <w:color w:val="auto"/>
        </w:rPr>
      </w:pPr>
      <w:r>
        <w:rPr>
          <w:rFonts w:ascii="Arial" w:cs="Arial" w:eastAsia="Arial" w:hAnsi="Arial"/>
          <w:sz w:val="20"/>
          <w:szCs w:val="20"/>
          <w:u w:val="single" w:color="auto"/>
          <w:color w:val="auto"/>
        </w:rPr>
        <w:t>Conflicts of Interest</w:t>
      </w:r>
      <w:r>
        <w:rPr>
          <w:rFonts w:ascii="Arial" w:cs="Arial" w:eastAsia="Arial" w:hAnsi="Arial"/>
          <w:sz w:val="20"/>
          <w:szCs w:val="20"/>
          <w:color w:val="auto"/>
        </w:rPr>
        <w:t>:</w:t>
      </w:r>
    </w:p>
    <w:p>
      <w:pPr>
        <w:spacing w:after="0" w:line="202" w:lineRule="exact"/>
        <w:rPr>
          <w:sz w:val="20"/>
          <w:szCs w:val="20"/>
          <w:color w:val="auto"/>
        </w:rPr>
      </w:pPr>
    </w:p>
    <w:p>
      <w:pPr>
        <w:jc w:val="both"/>
        <w:ind w:left="40" w:right="79" w:firstLine="652"/>
        <w:spacing w:after="0" w:line="241" w:lineRule="auto"/>
        <w:tabs>
          <w:tab w:leader="none" w:pos="1336" w:val="left"/>
        </w:tabs>
        <w:numPr>
          <w:ilvl w:val="0"/>
          <w:numId w:val="241"/>
        </w:numPr>
        <w:rPr>
          <w:rFonts w:ascii="Arial" w:cs="Arial" w:eastAsia="Arial" w:hAnsi="Arial"/>
          <w:sz w:val="20"/>
          <w:szCs w:val="20"/>
          <w:color w:val="auto"/>
        </w:rPr>
      </w:pPr>
      <w:r>
        <w:rPr>
          <w:rFonts w:ascii="Arial" w:cs="Arial" w:eastAsia="Arial" w:hAnsi="Arial"/>
          <w:sz w:val="20"/>
          <w:szCs w:val="20"/>
          <w:color w:val="auto"/>
        </w:rPr>
        <w:t>The Board and Executive Management Team members must arrange their personal and business affairs, including their affairs with regard to a Related Person, so as to avoid, as much as possible, an actual, perceived or potential Conflicting Interest with the interests of the Group.</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20"/>
          <w:szCs w:val="20"/>
          <w:u w:val="single" w:color="auto"/>
          <w:color w:val="auto"/>
        </w:rPr>
        <w:t>Disclosure of a Conflict of Interest</w:t>
      </w:r>
      <w:r>
        <w:rPr>
          <w:rFonts w:ascii="Arial" w:cs="Arial" w:eastAsia="Arial" w:hAnsi="Arial"/>
          <w:sz w:val="20"/>
          <w:szCs w:val="20"/>
          <w:color w:val="auto"/>
        </w:rPr>
        <w:t>:</w:t>
      </w:r>
    </w:p>
    <w:p>
      <w:pPr>
        <w:spacing w:after="0" w:line="202" w:lineRule="exact"/>
        <w:rPr>
          <w:sz w:val="20"/>
          <w:szCs w:val="20"/>
          <w:color w:val="auto"/>
        </w:rPr>
      </w:pPr>
    </w:p>
    <w:p>
      <w:pPr>
        <w:jc w:val="both"/>
        <w:ind w:left="40" w:right="79" w:firstLine="652"/>
        <w:spacing w:after="0" w:line="232" w:lineRule="auto"/>
        <w:tabs>
          <w:tab w:leader="none" w:pos="1336" w:val="left"/>
        </w:tabs>
        <w:numPr>
          <w:ilvl w:val="0"/>
          <w:numId w:val="242"/>
        </w:numPr>
        <w:rPr>
          <w:rFonts w:ascii="Arial" w:cs="Arial" w:eastAsia="Arial" w:hAnsi="Arial"/>
          <w:sz w:val="20"/>
          <w:szCs w:val="20"/>
          <w:color w:val="auto"/>
        </w:rPr>
      </w:pPr>
      <w:r>
        <w:rPr>
          <w:rFonts w:ascii="Arial" w:cs="Arial" w:eastAsia="Arial" w:hAnsi="Arial"/>
          <w:sz w:val="20"/>
          <w:szCs w:val="20"/>
          <w:color w:val="auto"/>
        </w:rPr>
        <w:t>Each Board member must disclose to the Chairperson, and each Executive Management Team member must disclose to the Chief Executive Officer, who shall promptly inform the Chairperson, any Conflicting Interest (as defined below) generally arising or relating to any matter to be discussed at a meeting, as soon as the Board or Executive Management Team member becomes aware of its existence. In addition, such Board or Executive Management Team member, as the case may be, shall use his best efforts to ensure that he does not receive any confidential information with respect to such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1815465</wp:posOffset>
            </wp:positionH>
            <wp:positionV relativeFrom="paragraph">
              <wp:posOffset>-305435</wp:posOffset>
            </wp:positionV>
            <wp:extent cx="34925"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34925" cy="8255"/>
                    </a:xfrm>
                    <a:prstGeom prst="rect">
                      <a:avLst/>
                    </a:prstGeom>
                    <a:noFill/>
                  </pic:spPr>
                </pic:pic>
              </a:graphicData>
            </a:graphic>
          </wp:anchor>
        </w:drawing>
      </w:r>
    </w:p>
    <w:p>
      <w:pPr>
        <w:spacing w:after="0" w:line="152" w:lineRule="exact"/>
        <w:rPr>
          <w:sz w:val="20"/>
          <w:szCs w:val="20"/>
          <w:color w:val="auto"/>
        </w:rPr>
      </w:pPr>
    </w:p>
    <w:p>
      <w:pPr>
        <w:ind w:left="780"/>
        <w:spacing w:after="0"/>
        <w:rPr>
          <w:sz w:val="20"/>
          <w:szCs w:val="20"/>
          <w:color w:val="auto"/>
        </w:rPr>
      </w:pPr>
      <w:r>
        <w:rPr>
          <w:rFonts w:ascii="Arial" w:cs="Arial" w:eastAsia="Arial" w:hAnsi="Arial"/>
          <w:sz w:val="20"/>
          <w:szCs w:val="20"/>
          <w:u w:val="single" w:color="auto"/>
          <w:color w:val="auto"/>
        </w:rPr>
        <w:t>Procedural Measures</w:t>
      </w:r>
      <w:r>
        <w:rPr>
          <w:rFonts w:ascii="Arial" w:cs="Arial" w:eastAsia="Arial" w:hAnsi="Arial"/>
          <w:sz w:val="20"/>
          <w:szCs w:val="20"/>
          <w:color w:val="auto"/>
        </w:rPr>
        <w:t>:</w:t>
      </w:r>
    </w:p>
    <w:p>
      <w:pPr>
        <w:spacing w:after="0" w:line="202" w:lineRule="exact"/>
        <w:rPr>
          <w:sz w:val="20"/>
          <w:szCs w:val="20"/>
          <w:color w:val="auto"/>
        </w:rPr>
      </w:pPr>
    </w:p>
    <w:p>
      <w:pPr>
        <w:jc w:val="both"/>
        <w:ind w:left="40" w:right="79" w:firstLine="652"/>
        <w:spacing w:after="0" w:line="231" w:lineRule="auto"/>
        <w:tabs>
          <w:tab w:leader="none" w:pos="1336" w:val="left"/>
        </w:tabs>
        <w:numPr>
          <w:ilvl w:val="0"/>
          <w:numId w:val="243"/>
        </w:numPr>
        <w:rPr>
          <w:rFonts w:ascii="Arial" w:cs="Arial" w:eastAsia="Arial" w:hAnsi="Arial"/>
          <w:sz w:val="20"/>
          <w:szCs w:val="20"/>
          <w:color w:val="auto"/>
        </w:rPr>
      </w:pPr>
      <w:r>
        <w:rPr>
          <w:rFonts w:ascii="Arial" w:cs="Arial" w:eastAsia="Arial" w:hAnsi="Arial"/>
          <w:sz w:val="20"/>
          <w:szCs w:val="20"/>
          <w:color w:val="auto"/>
        </w:rPr>
        <w:t>Except in exceptional circumstances where it is in the best interests of the Company, a Board or Executive Management Team member with a Conflicting Interest shall not participate in discussions and decision-making involving the Conflicting Interest, and the existence of the Conflicting Interest shall be recorded in the minutes of the meeting. If a Board or Executive Management Team member is required to abstain from voting in a matter, such member shall not be counted in the quorum of the meeting in question. In the event of doubt, the Chairperson or the Chief Executive Officer shall request the respective corporate body to determine whether a Conflicting Interest or exceptional circumstances exist.</w:t>
      </w:r>
    </w:p>
    <w:p>
      <w:pPr>
        <w:spacing w:after="0" w:line="173" w:lineRule="exact"/>
        <w:rPr>
          <w:sz w:val="20"/>
          <w:szCs w:val="20"/>
          <w:color w:val="auto"/>
        </w:rPr>
      </w:pPr>
    </w:p>
    <w:p>
      <w:pPr>
        <w:ind w:left="700"/>
        <w:spacing w:after="0"/>
        <w:rPr>
          <w:sz w:val="20"/>
          <w:szCs w:val="20"/>
          <w:color w:val="auto"/>
        </w:rPr>
      </w:pPr>
      <w:r>
        <w:rPr>
          <w:rFonts w:ascii="Arial" w:cs="Arial" w:eastAsia="Arial" w:hAnsi="Arial"/>
          <w:sz w:val="20"/>
          <w:szCs w:val="20"/>
          <w:u w:val="single" w:color="auto"/>
          <w:color w:val="auto"/>
        </w:rPr>
        <w:t>Definitions</w:t>
      </w:r>
      <w:r>
        <w:rPr>
          <w:rFonts w:ascii="Arial" w:cs="Arial" w:eastAsia="Arial" w:hAnsi="Arial"/>
          <w:sz w:val="20"/>
          <w:szCs w:val="20"/>
          <w:color w:val="auto"/>
        </w:rPr>
        <w:t>:</w:t>
      </w:r>
    </w:p>
    <w:p>
      <w:pPr>
        <w:spacing w:after="0" w:line="200" w:lineRule="exact"/>
        <w:rPr>
          <w:sz w:val="20"/>
          <w:szCs w:val="20"/>
          <w:color w:val="auto"/>
        </w:rPr>
      </w:pPr>
    </w:p>
    <w:p>
      <w:pPr>
        <w:jc w:val="both"/>
        <w:ind w:left="40" w:right="79" w:firstLine="652"/>
        <w:spacing w:after="0" w:line="232" w:lineRule="auto"/>
        <w:tabs>
          <w:tab w:leader="none" w:pos="1336" w:val="left"/>
        </w:tabs>
        <w:numPr>
          <w:ilvl w:val="0"/>
          <w:numId w:val="244"/>
        </w:numPr>
        <w:rPr>
          <w:rFonts w:ascii="Arial" w:cs="Arial" w:eastAsia="Arial" w:hAnsi="Arial"/>
          <w:sz w:val="20"/>
          <w:szCs w:val="20"/>
          <w:color w:val="auto"/>
        </w:rPr>
      </w:pPr>
      <w:r>
        <w:rPr>
          <w:rFonts w:ascii="Arial" w:cs="Arial" w:eastAsia="Arial" w:hAnsi="Arial"/>
          <w:sz w:val="20"/>
          <w:szCs w:val="20"/>
          <w:b w:val="1"/>
          <w:bCs w:val="1"/>
          <w:color w:val="auto"/>
        </w:rPr>
        <w:t xml:space="preserve">Conflicting Interest </w:t>
      </w:r>
      <w:r>
        <w:rPr>
          <w:rFonts w:ascii="Arial" w:cs="Arial" w:eastAsia="Arial" w:hAnsi="Arial"/>
          <w:sz w:val="20"/>
          <w:szCs w:val="20"/>
          <w:color w:val="auto"/>
        </w:rPr>
        <w:t>shall mean the special interest the Director/Executive</w:t>
      </w:r>
      <w:r>
        <w:rPr>
          <w:rFonts w:ascii="Arial" w:cs="Arial" w:eastAsia="Arial" w:hAnsi="Arial"/>
          <w:sz w:val="20"/>
          <w:szCs w:val="20"/>
          <w:b w:val="1"/>
          <w:bCs w:val="1"/>
          <w:color w:val="auto"/>
        </w:rPr>
        <w:t xml:space="preserve"> </w:t>
      </w:r>
      <w:r>
        <w:rPr>
          <w:rFonts w:ascii="Arial" w:cs="Arial" w:eastAsia="Arial" w:hAnsi="Arial"/>
          <w:sz w:val="20"/>
          <w:szCs w:val="20"/>
          <w:color w:val="auto"/>
        </w:rPr>
        <w:t>Management Team member has with respect to a transaction due to the fact that the Director/Executive Management Team member or a Related Person has a financial or non-financial interest in, or is otherwise closely linked to, the transaction, and such interest is of such significance to the Director/ Executive Management Team member or a Related Person that the interest would reasonably be expected to interfere with the Director's judgment if he were called upon to vote on the transaction.</w:t>
      </w:r>
    </w:p>
    <w:p>
      <w:pPr>
        <w:spacing w:after="0" w:line="172" w:lineRule="exact"/>
        <w:rPr>
          <w:sz w:val="20"/>
          <w:szCs w:val="20"/>
          <w:color w:val="auto"/>
        </w:rPr>
      </w:pPr>
    </w:p>
    <w:p>
      <w:pPr>
        <w:ind w:left="700"/>
        <w:spacing w:after="0"/>
        <w:rPr>
          <w:sz w:val="20"/>
          <w:szCs w:val="20"/>
          <w:color w:val="auto"/>
        </w:rPr>
      </w:pPr>
      <w:r>
        <w:rPr>
          <w:rFonts w:ascii="Arial" w:cs="Arial" w:eastAsia="Arial" w:hAnsi="Arial"/>
          <w:sz w:val="20"/>
          <w:szCs w:val="20"/>
          <w:b w:val="1"/>
          <w:bCs w:val="1"/>
          <w:color w:val="auto"/>
        </w:rPr>
        <w:t xml:space="preserve">Related Person </w:t>
      </w:r>
      <w:r>
        <w:rPr>
          <w:rFonts w:ascii="Arial" w:cs="Arial" w:eastAsia="Arial" w:hAnsi="Arial"/>
          <w:sz w:val="20"/>
          <w:szCs w:val="20"/>
          <w:color w:val="auto"/>
        </w:rPr>
        <w:t>of a Director or Executive Management Team member means: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640715</wp:posOffset>
            </wp:positionV>
            <wp:extent cx="5648960" cy="254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5648960" cy="25400"/>
                    </a:xfrm>
                    <a:prstGeom prst="rect">
                      <a:avLst/>
                    </a:prstGeom>
                    <a:noFill/>
                  </pic:spPr>
                </pic:pic>
              </a:graphicData>
            </a:graphic>
          </wp:anchor>
        </w:drawing>
      </w:r>
    </w:p>
    <w:p>
      <w:pPr>
        <w:sectPr>
          <w:pgSz w:w="11900" w:h="16838" w:orient="portrait"/>
          <w:cols w:equalWidth="0" w:num="1">
            <w:col w:w="9019"/>
          </w:cols>
          <w:pgMar w:left="1440" w:top="670" w:right="1440" w:bottom="1440" w:gutter="0" w:footer="0" w:header="0"/>
        </w:sectPr>
      </w:pPr>
    </w:p>
    <w:bookmarkStart w:id="74" w:name="page75"/>
    <w:bookmarkEnd w:id="74"/>
    <w:p>
      <w:pPr>
        <w:jc w:val="right"/>
        <w:ind w:right="79"/>
        <w:spacing w:after="0"/>
        <w:rPr>
          <w:sz w:val="20"/>
          <w:szCs w:val="20"/>
          <w:color w:val="auto"/>
        </w:rPr>
      </w:pPr>
      <w:r>
        <w:rPr>
          <w:rFonts w:ascii="Arial" w:cs="Arial" w:eastAsia="Arial" w:hAnsi="Arial"/>
          <w:sz w:val="14"/>
          <w:szCs w:val="14"/>
          <w:color w:val="auto"/>
        </w:rPr>
        <w:t>11</w:t>
      </w:r>
    </w:p>
    <w:p>
      <w:pPr>
        <w:spacing w:after="0" w:line="205" w:lineRule="exact"/>
        <w:rPr>
          <w:sz w:val="20"/>
          <w:szCs w:val="20"/>
          <w:color w:val="auto"/>
        </w:rPr>
      </w:pPr>
    </w:p>
    <w:p>
      <w:pPr>
        <w:jc w:val="both"/>
        <w:ind w:left="40" w:right="79" w:firstLine="4"/>
        <w:spacing w:after="0" w:line="234" w:lineRule="auto"/>
        <w:tabs>
          <w:tab w:leader="none" w:pos="1103" w:val="left"/>
        </w:tabs>
        <w:numPr>
          <w:ilvl w:val="0"/>
          <w:numId w:val="245"/>
        </w:numPr>
        <w:rPr>
          <w:rFonts w:ascii="Arial" w:cs="Arial" w:eastAsia="Arial" w:hAnsi="Arial"/>
          <w:sz w:val="20"/>
          <w:szCs w:val="20"/>
          <w:color w:val="auto"/>
        </w:rPr>
      </w:pPr>
      <w:r>
        <w:rPr>
          <w:rFonts w:ascii="Arial" w:cs="Arial" w:eastAsia="Arial" w:hAnsi="Arial"/>
          <w:sz w:val="20"/>
          <w:szCs w:val="20"/>
          <w:color w:val="auto"/>
        </w:rPr>
        <w:t>the spouse (or a parent or sibling thereof) of the Director/Executive Management Team member, or a child, grandchild, sibling, parent (or spouse of any thereof) of the Director/Executive Management Team member, or an individual having the same home as the Director/Executive Management Team member, or trust or estate of which an individual specified in this Section 10.02(f) (i)is a substantial beneficiary;</w:t>
      </w:r>
    </w:p>
    <w:p>
      <w:pPr>
        <w:spacing w:after="0" w:line="174" w:lineRule="exact"/>
        <w:rPr>
          <w:rFonts w:ascii="Arial" w:cs="Arial" w:eastAsia="Arial" w:hAnsi="Arial"/>
          <w:sz w:val="20"/>
          <w:szCs w:val="20"/>
          <w:color w:val="auto"/>
        </w:rPr>
      </w:pPr>
    </w:p>
    <w:p>
      <w:pPr>
        <w:ind w:left="40" w:right="99" w:firstLine="4"/>
        <w:spacing w:after="0" w:line="257" w:lineRule="auto"/>
        <w:tabs>
          <w:tab w:leader="none" w:pos="1103" w:val="left"/>
        </w:tabs>
        <w:numPr>
          <w:ilvl w:val="0"/>
          <w:numId w:val="245"/>
        </w:numPr>
        <w:rPr>
          <w:rFonts w:ascii="Arial" w:cs="Arial" w:eastAsia="Arial" w:hAnsi="Arial"/>
          <w:sz w:val="20"/>
          <w:szCs w:val="20"/>
          <w:color w:val="auto"/>
        </w:rPr>
      </w:pPr>
      <w:r>
        <w:rPr>
          <w:rFonts w:ascii="Arial" w:cs="Arial" w:eastAsia="Arial" w:hAnsi="Arial"/>
          <w:sz w:val="20"/>
          <w:szCs w:val="20"/>
          <w:color w:val="auto"/>
        </w:rPr>
        <w:t>a trust, estate, incompetent or minor of which the Director/Executive Management Team member is a trustee,­ administrator or guardian; or</w:t>
      </w:r>
    </w:p>
    <w:p>
      <w:pPr>
        <w:spacing w:after="0" w:line="155" w:lineRule="exact"/>
        <w:rPr>
          <w:rFonts w:ascii="Arial" w:cs="Arial" w:eastAsia="Arial" w:hAnsi="Arial"/>
          <w:sz w:val="20"/>
          <w:szCs w:val="20"/>
          <w:color w:val="auto"/>
        </w:rPr>
      </w:pPr>
    </w:p>
    <w:p>
      <w:pPr>
        <w:jc w:val="both"/>
        <w:ind w:left="40" w:right="79" w:firstLine="4"/>
        <w:spacing w:after="0" w:line="233" w:lineRule="auto"/>
        <w:tabs>
          <w:tab w:leader="none" w:pos="1103" w:val="left"/>
        </w:tabs>
        <w:numPr>
          <w:ilvl w:val="0"/>
          <w:numId w:val="245"/>
        </w:numPr>
        <w:rPr>
          <w:rFonts w:ascii="Arial" w:cs="Arial" w:eastAsia="Arial" w:hAnsi="Arial"/>
          <w:sz w:val="20"/>
          <w:szCs w:val="20"/>
          <w:color w:val="auto"/>
        </w:rPr>
      </w:pPr>
      <w:r>
        <w:rPr>
          <w:rFonts w:ascii="Arial" w:cs="Arial" w:eastAsia="Arial" w:hAnsi="Arial"/>
          <w:sz w:val="20"/>
          <w:szCs w:val="20"/>
          <w:color w:val="auto"/>
        </w:rPr>
        <w:t>one of the following persons or entities: (1) an entity of which the Director/Executive Management Team member is a director, general partner, agent, major shareholder, representative or employee; (2) a person that controls one or more of the entities specified in subclause (1) or an entity that is controlled by, or is under common control with, one or more of the entities specified in subclause (1); or (3) an individual who is a general partner, principal or employer of the Director/Executive Management Team member.</w:t>
      </w:r>
    </w:p>
    <w:p>
      <w:pPr>
        <w:spacing w:after="0" w:line="172" w:lineRule="exact"/>
        <w:rPr>
          <w:sz w:val="20"/>
          <w:szCs w:val="20"/>
          <w:color w:val="auto"/>
        </w:rPr>
      </w:pPr>
    </w:p>
    <w:p>
      <w:pPr>
        <w:jc w:val="both"/>
        <w:ind w:left="160" w:right="79" w:firstLine="648"/>
        <w:spacing w:after="0" w:line="241" w:lineRule="auto"/>
        <w:rPr>
          <w:sz w:val="20"/>
          <w:szCs w:val="20"/>
          <w:color w:val="auto"/>
        </w:rPr>
      </w:pPr>
      <w:r>
        <w:rPr>
          <w:rFonts w:ascii="Arial" w:cs="Arial" w:eastAsia="Arial" w:hAnsi="Arial"/>
          <w:sz w:val="20"/>
          <w:szCs w:val="20"/>
          <w:color w:val="auto"/>
        </w:rPr>
        <w:t>Section 10.03.</w:t>
      </w:r>
      <w:r>
        <w:rPr>
          <w:rFonts w:ascii="Arial" w:cs="Arial" w:eastAsia="Arial" w:hAnsi="Arial"/>
          <w:sz w:val="20"/>
          <w:szCs w:val="20"/>
          <w:i w:val="1"/>
          <w:iCs w:val="1"/>
          <w:color w:val="auto"/>
        </w:rPr>
        <w:t>Insurance.</w:t>
      </w:r>
      <w:r>
        <w:rPr>
          <w:rFonts w:ascii="Arial" w:cs="Arial" w:eastAsia="Arial" w:hAnsi="Arial"/>
          <w:sz w:val="20"/>
          <w:szCs w:val="20"/>
          <w:color w:val="auto"/>
        </w:rPr>
        <w:t xml:space="preserve"> The Company may procure directors' and officers' liability insurance for the Directors and for officers of the Company. Any costs of insurance shall be charged to the Company or its Subsidiaries.</w:t>
      </w:r>
    </w:p>
    <w:p>
      <w:pPr>
        <w:spacing w:after="0" w:line="171" w:lineRule="exact"/>
        <w:rPr>
          <w:sz w:val="20"/>
          <w:szCs w:val="20"/>
          <w:color w:val="auto"/>
        </w:rPr>
      </w:pPr>
    </w:p>
    <w:p>
      <w:pPr>
        <w:jc w:val="both"/>
        <w:ind w:left="160" w:right="79" w:firstLine="648"/>
        <w:spacing w:after="0" w:line="232" w:lineRule="auto"/>
        <w:rPr>
          <w:sz w:val="20"/>
          <w:szCs w:val="20"/>
          <w:color w:val="auto"/>
        </w:rPr>
      </w:pPr>
      <w:r>
        <w:rPr>
          <w:rFonts w:ascii="Arial" w:cs="Arial" w:eastAsia="Arial" w:hAnsi="Arial"/>
          <w:sz w:val="20"/>
          <w:szCs w:val="20"/>
          <w:color w:val="auto"/>
        </w:rPr>
        <w:t>Section 10.04.</w:t>
      </w:r>
      <w:r>
        <w:rPr>
          <w:rFonts w:ascii="Arial" w:cs="Arial" w:eastAsia="Arial" w:hAnsi="Arial"/>
          <w:sz w:val="20"/>
          <w:szCs w:val="20"/>
          <w:i w:val="1"/>
          <w:iCs w:val="1"/>
          <w:color w:val="auto"/>
        </w:rPr>
        <w:t>Confidentiality.</w:t>
      </w:r>
      <w:r>
        <w:rPr>
          <w:rFonts w:ascii="Arial" w:cs="Arial" w:eastAsia="Arial" w:hAnsi="Arial"/>
          <w:sz w:val="20"/>
          <w:szCs w:val="20"/>
          <w:color w:val="auto"/>
        </w:rPr>
        <w:t xml:space="preserve"> The proceedings and deliberations of the Board and its committees are confidential. Each Director is required to maintain the confidentiality of all information received in connection with his service as a Director (including not disclosing any such information, proceedings and deliberations to any third party (other than the Company’s representatives who have a need to know), including such Director’s employer in the case of a non-employee Director and any person or entity on whose behalf such Director may have been nominated).</w:t>
      </w:r>
    </w:p>
    <w:p>
      <w:pPr>
        <w:spacing w:after="0" w:line="172" w:lineRule="exact"/>
        <w:rPr>
          <w:sz w:val="20"/>
          <w:szCs w:val="20"/>
          <w:color w:val="auto"/>
        </w:rPr>
      </w:pPr>
    </w:p>
    <w:p>
      <w:pPr>
        <w:jc w:val="both"/>
        <w:ind w:left="160" w:right="79" w:firstLine="648"/>
        <w:spacing w:after="0" w:line="231" w:lineRule="auto"/>
        <w:rPr>
          <w:sz w:val="20"/>
          <w:szCs w:val="20"/>
          <w:color w:val="auto"/>
        </w:rPr>
      </w:pPr>
      <w:r>
        <w:rPr>
          <w:rFonts w:ascii="Arial" w:cs="Arial" w:eastAsia="Arial" w:hAnsi="Arial"/>
          <w:sz w:val="20"/>
          <w:szCs w:val="20"/>
          <w:color w:val="auto"/>
        </w:rPr>
        <w:t>Section 10.05.</w:t>
      </w:r>
      <w:r>
        <w:rPr>
          <w:rFonts w:ascii="Arial" w:cs="Arial" w:eastAsia="Arial" w:hAnsi="Arial"/>
          <w:sz w:val="20"/>
          <w:szCs w:val="20"/>
          <w:i w:val="1"/>
          <w:iCs w:val="1"/>
          <w:color w:val="auto"/>
        </w:rPr>
        <w:t>Publicity.</w:t>
      </w:r>
      <w:r>
        <w:rPr>
          <w:rFonts w:ascii="Arial" w:cs="Arial" w:eastAsia="Arial" w:hAnsi="Arial"/>
          <w:sz w:val="20"/>
          <w:szCs w:val="20"/>
          <w:color w:val="auto"/>
        </w:rPr>
        <w:t xml:space="preserve"> The Board believes that the Chief Executive Officer is responsible for all communications with the public. Accordingly, Directors are to refrain from making any public statements regarding the Company at any time unless specifically requested to do so by the Chief Executive Officer or the Board. All inquiries received by Directors should be directed to the Chief Executive Officer. The Chief Executive Officer has the responsibility for keeping the Chairperson informed of all public announcements regarding the Company and shall consult with the Chairperson as to all non-routine announcements in order to determine if the Directors should be notified prior to its release.</w:t>
      </w:r>
    </w:p>
    <w:p>
      <w:pPr>
        <w:spacing w:after="0" w:line="173" w:lineRule="exact"/>
        <w:rPr>
          <w:sz w:val="20"/>
          <w:szCs w:val="20"/>
          <w:color w:val="auto"/>
        </w:rPr>
      </w:pPr>
    </w:p>
    <w:p>
      <w:pPr>
        <w:ind w:left="800"/>
        <w:spacing w:after="0"/>
        <w:tabs>
          <w:tab w:leader="none" w:pos="5440" w:val="left"/>
        </w:tabs>
        <w:rPr>
          <w:sz w:val="20"/>
          <w:szCs w:val="20"/>
          <w:color w:val="auto"/>
        </w:rPr>
      </w:pPr>
      <w:r>
        <w:rPr>
          <w:rFonts w:ascii="Arial" w:cs="Arial" w:eastAsia="Arial" w:hAnsi="Arial"/>
          <w:sz w:val="20"/>
          <w:szCs w:val="20"/>
          <w:color w:val="auto"/>
        </w:rPr>
        <w:t>Section 10.06.</w:t>
      </w:r>
      <w:r>
        <w:rPr>
          <w:rFonts w:ascii="Arial" w:cs="Arial" w:eastAsia="Arial" w:hAnsi="Arial"/>
          <w:sz w:val="20"/>
          <w:szCs w:val="20"/>
          <w:i w:val="1"/>
          <w:iCs w:val="1"/>
          <w:color w:val="auto"/>
        </w:rPr>
        <w:t>Certain Arrangements; Compliance.</w:t>
      </w:r>
      <w:r>
        <w:rPr>
          <w:sz w:val="20"/>
          <w:szCs w:val="20"/>
          <w:color w:val="auto"/>
        </w:rPr>
        <w:tab/>
      </w:r>
      <w:r>
        <w:rPr>
          <w:rFonts w:ascii="Arial" w:cs="Arial" w:eastAsia="Arial" w:hAnsi="Arial"/>
          <w:sz w:val="19"/>
          <w:szCs w:val="19"/>
          <w:color w:val="auto"/>
        </w:rPr>
        <w:t>Each Director (A) shall not be a party to</w:t>
      </w:r>
    </w:p>
    <w:p>
      <w:pPr>
        <w:spacing w:after="0" w:line="4" w:lineRule="exact"/>
        <w:rPr>
          <w:sz w:val="20"/>
          <w:szCs w:val="20"/>
          <w:color w:val="auto"/>
        </w:rPr>
      </w:pPr>
    </w:p>
    <w:p>
      <w:pPr>
        <w:jc w:val="both"/>
        <w:ind w:left="160" w:right="79" w:firstLine="1"/>
        <w:spacing w:after="0" w:line="239" w:lineRule="auto"/>
        <w:tabs>
          <w:tab w:leader="none" w:pos="503" w:val="left"/>
        </w:tabs>
        <w:numPr>
          <w:ilvl w:val="0"/>
          <w:numId w:val="246"/>
        </w:numPr>
        <w:rPr>
          <w:rFonts w:ascii="Arial" w:cs="Arial" w:eastAsia="Arial" w:hAnsi="Arial"/>
          <w:sz w:val="19"/>
          <w:szCs w:val="19"/>
          <w:color w:val="auto"/>
        </w:rPr>
      </w:pPr>
      <w:r>
        <w:rPr>
          <w:rFonts w:ascii="Arial" w:cs="Arial" w:eastAsia="Arial" w:hAnsi="Arial"/>
          <w:sz w:val="19"/>
          <w:szCs w:val="19"/>
          <w:color w:val="auto"/>
        </w:rPr>
        <w:t xml:space="preserve">any agreement, arrangement or understanding with, and shall not give any commitment or assurance to any person or entity as to how such Director will act or vote on any issue or question (a </w:t>
      </w:r>
      <w:r>
        <w:rPr>
          <w:rFonts w:ascii="Arial" w:cs="Arial" w:eastAsia="Arial" w:hAnsi="Arial"/>
          <w:sz w:val="19"/>
          <w:szCs w:val="19"/>
          <w:b w:val="1"/>
          <w:bCs w:val="1"/>
          <w:color w:val="auto"/>
        </w:rPr>
        <w:t>Voting Commitment</w:t>
      </w:r>
      <w:r>
        <w:rPr>
          <w:rFonts w:ascii="Arial" w:cs="Arial" w:eastAsia="Arial" w:hAnsi="Arial"/>
          <w:sz w:val="19"/>
          <w:szCs w:val="19"/>
          <w:color w:val="auto"/>
        </w:rPr>
        <w:t>) that has not been fully disclosed to the Board prior to such person being nominated as a Director, (2) any Voting Commitment that could limit or interfere with such Director's ability to comply with his fiduciary duties under applicable law or the duties under these Organizational Regulations or the Company’s Corporate Governance Guidelines, or (3) any agreement, arrangement or understanding with any person or entity other than the Company with respect to any direct or indirect compensation, reimbursement or indemnification in connection with service or action as a Director that has not been fully disclosed to the Board prior to such person being nominated as a Director, and (B) shall, in such Director's individual capacity and on behalf of any person or entity on whose behalf such Director was nominated to be a Director (if applicable), comply with all applicable corporate governance, conflict of interest, confidentiality, share ownership and trading policies and guidelines (including any insider trading policy) of the Company.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623570</wp:posOffset>
            </wp:positionV>
            <wp:extent cx="5648960" cy="254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5648960" cy="25400"/>
                    </a:xfrm>
                    <a:prstGeom prst="rect">
                      <a:avLst/>
                    </a:prstGeom>
                    <a:noFill/>
                  </pic:spPr>
                </pic:pic>
              </a:graphicData>
            </a:graphic>
          </wp:anchor>
        </w:drawing>
      </w:r>
    </w:p>
    <w:p>
      <w:pPr>
        <w:sectPr>
          <w:pgSz w:w="11900" w:h="16838" w:orient="portrait"/>
          <w:cols w:equalWidth="0" w:num="1">
            <w:col w:w="9019"/>
          </w:cols>
          <w:pgMar w:left="1440" w:top="670" w:right="1440" w:bottom="1440" w:gutter="0" w:footer="0" w:header="0"/>
        </w:sectPr>
      </w:pPr>
    </w:p>
    <w:bookmarkStart w:id="75" w:name="page76"/>
    <w:bookmarkEnd w:id="75"/>
    <w:p>
      <w:pPr>
        <w:ind w:left="8780"/>
        <w:spacing w:after="0"/>
        <w:rPr>
          <w:sz w:val="20"/>
          <w:szCs w:val="20"/>
          <w:color w:val="auto"/>
        </w:rPr>
      </w:pPr>
      <w:r>
        <w:rPr>
          <w:rFonts w:ascii="Arial" w:cs="Arial" w:eastAsia="Arial" w:hAnsi="Arial"/>
          <w:sz w:val="14"/>
          <w:szCs w:val="14"/>
          <w:color w:val="auto"/>
        </w:rPr>
        <w:t>12</w:t>
      </w:r>
    </w:p>
    <w:p>
      <w:pPr>
        <w:spacing w:after="0" w:line="205" w:lineRule="exact"/>
        <w:rPr>
          <w:sz w:val="20"/>
          <w:szCs w:val="20"/>
          <w:color w:val="auto"/>
        </w:rPr>
      </w:pPr>
    </w:p>
    <w:p>
      <w:pPr>
        <w:jc w:val="both"/>
        <w:ind w:left="40" w:right="79"/>
        <w:spacing w:after="0" w:line="257" w:lineRule="auto"/>
        <w:rPr>
          <w:sz w:val="20"/>
          <w:szCs w:val="20"/>
          <w:color w:val="auto"/>
        </w:rPr>
      </w:pPr>
      <w:r>
        <w:rPr>
          <w:rFonts w:ascii="Arial" w:cs="Arial" w:eastAsia="Arial" w:hAnsi="Arial"/>
          <w:sz w:val="20"/>
          <w:szCs w:val="20"/>
          <w:color w:val="auto"/>
        </w:rPr>
        <w:t>Company may require at any time that a Director or nominee for Director acknowledge his understanding of this Section 10.05and agreement therewith.</w:t>
      </w:r>
    </w:p>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ARTICLE 11</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F</w:t>
      </w:r>
      <w:r>
        <w:rPr>
          <w:rFonts w:ascii="Arial" w:cs="Arial" w:eastAsia="Arial" w:hAnsi="Arial"/>
          <w:sz w:val="13"/>
          <w:szCs w:val="13"/>
          <w:b w:val="1"/>
          <w:bCs w:val="1"/>
          <w:color w:val="auto"/>
        </w:rPr>
        <w:t>inal</w:t>
      </w:r>
      <w:r>
        <w:rPr>
          <w:rFonts w:ascii="Arial" w:cs="Arial" w:eastAsia="Arial" w:hAnsi="Arial"/>
          <w:sz w:val="20"/>
          <w:szCs w:val="20"/>
          <w:b w:val="1"/>
          <w:bCs w:val="1"/>
          <w:color w:val="auto"/>
        </w:rPr>
        <w:t xml:space="preserve"> P</w:t>
      </w:r>
      <w:r>
        <w:rPr>
          <w:rFonts w:ascii="Arial" w:cs="Arial" w:eastAsia="Arial" w:hAnsi="Arial"/>
          <w:sz w:val="13"/>
          <w:szCs w:val="13"/>
          <w:b w:val="1"/>
          <w:bCs w:val="1"/>
          <w:color w:val="auto"/>
        </w:rPr>
        <w:t>rovisions</w:t>
      </w:r>
    </w:p>
    <w:p>
      <w:pPr>
        <w:spacing w:after="0" w:line="184" w:lineRule="exact"/>
        <w:rPr>
          <w:sz w:val="20"/>
          <w:szCs w:val="20"/>
          <w:color w:val="auto"/>
        </w:rPr>
      </w:pPr>
    </w:p>
    <w:p>
      <w:pPr>
        <w:ind w:left="160" w:right="479" w:firstLine="648"/>
        <w:spacing w:after="0" w:line="257" w:lineRule="auto"/>
        <w:rPr>
          <w:sz w:val="20"/>
          <w:szCs w:val="20"/>
          <w:color w:val="auto"/>
        </w:rPr>
      </w:pPr>
      <w:r>
        <w:rPr>
          <w:rFonts w:ascii="Arial" w:cs="Arial" w:eastAsia="Arial" w:hAnsi="Arial"/>
          <w:sz w:val="20"/>
          <w:szCs w:val="20"/>
          <w:color w:val="auto"/>
        </w:rPr>
        <w:t xml:space="preserve">Section 11.01. </w:t>
      </w:r>
      <w:r>
        <w:rPr>
          <w:rFonts w:ascii="Arial" w:cs="Arial" w:eastAsia="Arial" w:hAnsi="Arial"/>
          <w:sz w:val="20"/>
          <w:szCs w:val="20"/>
          <w:i w:val="1"/>
          <w:iCs w:val="1"/>
          <w:color w:val="auto"/>
        </w:rPr>
        <w:t>Effectiveness.</w:t>
      </w:r>
      <w:r>
        <w:rPr>
          <w:rFonts w:ascii="Arial" w:cs="Arial" w:eastAsia="Arial" w:hAnsi="Arial"/>
          <w:sz w:val="20"/>
          <w:szCs w:val="20"/>
          <w:color w:val="auto"/>
        </w:rPr>
        <w:t xml:space="preserve"> These Organizational Regulations shall become effective upon approval by the Board.</w:t>
      </w:r>
    </w:p>
    <w:p>
      <w:pPr>
        <w:spacing w:after="0" w:line="155" w:lineRule="exact"/>
        <w:rPr>
          <w:sz w:val="20"/>
          <w:szCs w:val="20"/>
          <w:color w:val="auto"/>
        </w:rPr>
      </w:pPr>
    </w:p>
    <w:p>
      <w:pPr>
        <w:ind w:left="160" w:right="359" w:firstLine="648"/>
        <w:spacing w:after="0" w:line="241" w:lineRule="auto"/>
        <w:rPr>
          <w:sz w:val="20"/>
          <w:szCs w:val="20"/>
          <w:color w:val="auto"/>
        </w:rPr>
      </w:pPr>
      <w:r>
        <w:rPr>
          <w:rFonts w:ascii="Arial" w:cs="Arial" w:eastAsia="Arial" w:hAnsi="Arial"/>
          <w:sz w:val="20"/>
          <w:szCs w:val="20"/>
          <w:color w:val="auto"/>
        </w:rPr>
        <w:t xml:space="preserve">Section 11.02. </w:t>
      </w:r>
      <w:r>
        <w:rPr>
          <w:rFonts w:ascii="Arial" w:cs="Arial" w:eastAsia="Arial" w:hAnsi="Arial"/>
          <w:sz w:val="20"/>
          <w:szCs w:val="20"/>
          <w:i w:val="1"/>
          <w:iCs w:val="1"/>
          <w:color w:val="auto"/>
        </w:rPr>
        <w:t>Corporate Governance Guidelines.</w:t>
      </w:r>
      <w:r>
        <w:rPr>
          <w:rFonts w:ascii="Arial" w:cs="Arial" w:eastAsia="Arial" w:hAnsi="Arial"/>
          <w:sz w:val="20"/>
          <w:szCs w:val="20"/>
          <w:color w:val="auto"/>
        </w:rPr>
        <w:t xml:space="preserve"> The provisions of the Corporate Governance Guidelines, as may be amended by the Board from time to time, are incorporated by reference into these Organizational Regulations in all respects.</w:t>
      </w:r>
    </w:p>
    <w:p>
      <w:pPr>
        <w:spacing w:after="0" w:line="171" w:lineRule="exact"/>
        <w:rPr>
          <w:sz w:val="20"/>
          <w:szCs w:val="20"/>
          <w:color w:val="auto"/>
        </w:rPr>
      </w:pPr>
    </w:p>
    <w:p>
      <w:pPr>
        <w:ind w:left="800"/>
        <w:spacing w:after="0"/>
        <w:tabs>
          <w:tab w:leader="none" w:pos="8560" w:val="left"/>
        </w:tabs>
        <w:rPr>
          <w:sz w:val="20"/>
          <w:szCs w:val="20"/>
          <w:color w:val="auto"/>
        </w:rPr>
      </w:pPr>
      <w:r>
        <w:rPr>
          <w:rFonts w:ascii="Arial" w:cs="Arial" w:eastAsia="Arial" w:hAnsi="Arial"/>
          <w:sz w:val="20"/>
          <w:szCs w:val="20"/>
          <w:color w:val="auto"/>
        </w:rPr>
        <w:t xml:space="preserve">Section 11.03. </w:t>
      </w:r>
      <w:r>
        <w:rPr>
          <w:rFonts w:ascii="Arial" w:cs="Arial" w:eastAsia="Arial" w:hAnsi="Arial"/>
          <w:sz w:val="20"/>
          <w:szCs w:val="20"/>
          <w:i w:val="1"/>
          <w:iCs w:val="1"/>
          <w:color w:val="auto"/>
        </w:rPr>
        <w:t>Change of or Amendments to these Organizational Regulations.</w:t>
      </w:r>
      <w:r>
        <w:rPr>
          <w:sz w:val="20"/>
          <w:szCs w:val="20"/>
          <w:color w:val="auto"/>
        </w:rPr>
        <w:tab/>
      </w:r>
      <w:r>
        <w:rPr>
          <w:rFonts w:ascii="Arial" w:cs="Arial" w:eastAsia="Arial" w:hAnsi="Arial"/>
          <w:sz w:val="19"/>
          <w:szCs w:val="19"/>
          <w:color w:val="auto"/>
        </w:rPr>
        <w:t>Any</w:t>
      </w:r>
    </w:p>
    <w:p>
      <w:pPr>
        <w:spacing w:after="0" w:line="4" w:lineRule="exact"/>
        <w:rPr>
          <w:sz w:val="20"/>
          <w:szCs w:val="20"/>
          <w:color w:val="auto"/>
        </w:rPr>
      </w:pPr>
    </w:p>
    <w:p>
      <w:pPr>
        <w:jc w:val="both"/>
        <w:ind w:left="160" w:right="79"/>
        <w:spacing w:after="0" w:line="234" w:lineRule="auto"/>
        <w:rPr>
          <w:sz w:val="20"/>
          <w:szCs w:val="20"/>
          <w:color w:val="auto"/>
        </w:rPr>
      </w:pPr>
      <w:r>
        <w:rPr>
          <w:rFonts w:ascii="Arial" w:cs="Arial" w:eastAsia="Arial" w:hAnsi="Arial"/>
          <w:sz w:val="20"/>
          <w:szCs w:val="20"/>
          <w:color w:val="auto"/>
        </w:rPr>
        <w:t>change of or amendment to these Organizational Regulations shall only be valid if the Board approved such change or amendment with the attendance quorum and the majority as set forth in Section 3.06(a), Section 3.06(b) and Section 3.06(c), respectively.</w:t>
      </w:r>
    </w:p>
    <w:p>
      <w:pPr>
        <w:spacing w:after="0" w:line="173" w:lineRule="exact"/>
        <w:rPr>
          <w:sz w:val="20"/>
          <w:szCs w:val="20"/>
          <w:color w:val="auto"/>
        </w:rPr>
      </w:pPr>
    </w:p>
    <w:p>
      <w:pPr>
        <w:ind w:left="800"/>
        <w:spacing w:after="0"/>
        <w:rPr>
          <w:sz w:val="20"/>
          <w:szCs w:val="20"/>
          <w:color w:val="auto"/>
        </w:rPr>
      </w:pPr>
      <w:r>
        <w:rPr>
          <w:rFonts w:ascii="Arial" w:cs="Arial" w:eastAsia="Arial" w:hAnsi="Arial"/>
          <w:sz w:val="20"/>
          <w:szCs w:val="20"/>
          <w:color w:val="auto"/>
        </w:rPr>
        <w:t>SO RESOLVED with effective date as of July 1, 2026.</w:t>
      </w:r>
    </w:p>
    <w:p>
      <w:pPr>
        <w:spacing w:after="0" w:line="202" w:lineRule="exact"/>
        <w:rPr>
          <w:sz w:val="20"/>
          <w:szCs w:val="20"/>
          <w:color w:val="auto"/>
        </w:rPr>
      </w:pPr>
    </w:p>
    <w:p>
      <w:pPr>
        <w:ind w:left="3340"/>
        <w:spacing w:after="0"/>
        <w:rPr>
          <w:sz w:val="20"/>
          <w:szCs w:val="20"/>
          <w:color w:val="auto"/>
        </w:rPr>
      </w:pPr>
      <w:r>
        <w:rPr>
          <w:rFonts w:ascii="Arial" w:cs="Arial" w:eastAsia="Arial" w:hAnsi="Arial"/>
          <w:sz w:val="20"/>
          <w:szCs w:val="20"/>
          <w:color w:val="auto"/>
        </w:rPr>
        <w:t>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639445</wp:posOffset>
            </wp:positionV>
            <wp:extent cx="5648960" cy="2603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5648960" cy="26035"/>
                    </a:xfrm>
                    <a:prstGeom prst="rect">
                      <a:avLst/>
                    </a:prstGeom>
                    <a:noFill/>
                  </pic:spPr>
                </pic:pic>
              </a:graphicData>
            </a:graphic>
          </wp:anchor>
        </w:drawing>
      </w:r>
    </w:p>
    <w:sectPr>
      <w:pgSz w:w="11900" w:h="16838" w:orient="portrait"/>
      <w:cols w:equalWidth="0" w:num="1">
        <w:col w:w="9019"/>
      </w:cols>
      <w:pgMar w:left="1440" w:top="6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F97E3E4"/>
    <w:multiLevelType w:val="hybridMultilevel"/>
    <w:lvl w:ilvl="0">
      <w:lvlJc w:val="left"/>
      <w:lvlText w:val="☐"/>
      <w:numFmt w:val="bullet"/>
      <w:start w:val="1"/>
    </w:lvl>
  </w:abstractNum>
  <w:abstractNum w:abstractNumId="1">
    <w:nsid w:val="53B0A9E"/>
    <w:multiLevelType w:val="hybridMultilevel"/>
    <w:lvl w:ilvl="0">
      <w:lvlJc w:val="left"/>
      <w:lvlText w:val="%1."/>
      <w:numFmt w:val="decimal"/>
      <w:start w:val="1"/>
    </w:lvl>
  </w:abstractNum>
  <w:abstractNum w:abstractNumId="2">
    <w:nsid w:val="34FD6B4F"/>
    <w:multiLevelType w:val="hybridMultilevel"/>
    <w:lvl w:ilvl="0">
      <w:lvlJc w:val="left"/>
      <w:lvlText w:val="%1."/>
      <w:numFmt w:val="decimal"/>
      <w:start w:val="1"/>
    </w:lvl>
  </w:abstractNum>
  <w:abstractNum w:abstractNumId="3">
    <w:nsid w:val="5915FF32"/>
    <w:multiLevelType w:val="hybridMultilevel"/>
    <w:lvl w:ilvl="0">
      <w:lvlJc w:val="left"/>
      <w:lvlText w:val="%1."/>
      <w:numFmt w:val="decimal"/>
      <w:start w:val="1"/>
    </w:lvl>
  </w:abstractNum>
  <w:abstractNum w:abstractNumId="4">
    <w:nsid w:val="56438D15"/>
    <w:multiLevelType w:val="hybridMultilevel"/>
    <w:lvl w:ilvl="0">
      <w:lvlJc w:val="left"/>
      <w:lvlText w:val="%1."/>
      <w:numFmt w:val="decimal"/>
      <w:start w:val="2"/>
    </w:lvl>
  </w:abstractNum>
  <w:abstractNum w:abstractNumId="5">
    <w:nsid w:val="519E3149"/>
    <w:multiLevelType w:val="hybridMultilevel"/>
    <w:lvl w:ilvl="0">
      <w:lvlJc w:val="left"/>
      <w:lvlText w:val="%1."/>
      <w:numFmt w:val="decimal"/>
      <w:start w:val="5"/>
    </w:lvl>
  </w:abstractNum>
  <w:abstractNum w:abstractNumId="6">
    <w:nsid w:val="2C6E4AFD"/>
    <w:multiLevelType w:val="hybridMultilevel"/>
    <w:lvl w:ilvl="0">
      <w:lvlJc w:val="left"/>
      <w:lvlText w:val="%1."/>
      <w:numFmt w:val="decimal"/>
      <w:start w:val="6"/>
    </w:lvl>
  </w:abstractNum>
  <w:abstractNum w:abstractNumId="7">
    <w:nsid w:val="17A1B582"/>
    <w:multiLevelType w:val="hybridMultilevel"/>
    <w:lvl w:ilvl="0">
      <w:lvlJc w:val="left"/>
      <w:lvlText w:val="%1."/>
      <w:numFmt w:val="decimal"/>
      <w:start w:val="7"/>
    </w:lvl>
  </w:abstractNum>
  <w:abstractNum w:abstractNumId="8">
    <w:nsid w:val="4DF72E4E"/>
    <w:multiLevelType w:val="hybridMultilevel"/>
    <w:lvl w:ilvl="0">
      <w:lvlJc w:val="left"/>
      <w:lvlText w:val="%1."/>
      <w:numFmt w:val="decimal"/>
      <w:start w:val="8"/>
    </w:lvl>
  </w:abstractNum>
  <w:abstractNum w:abstractNumId="9">
    <w:nsid w:val="5046B5A9"/>
    <w:multiLevelType w:val="hybridMultilevel"/>
    <w:lvl w:ilvl="0">
      <w:lvlJc w:val="left"/>
      <w:lvlText w:val="%1."/>
      <w:numFmt w:val="decimal"/>
      <w:start w:val="9"/>
    </w:lvl>
  </w:abstractNum>
  <w:abstractNum w:abstractNumId="10">
    <w:nsid w:val="5D888A08"/>
    <w:multiLevelType w:val="hybridMultilevel"/>
    <w:lvl w:ilvl="0">
      <w:lvlJc w:val="left"/>
      <w:lvlText w:val="%1."/>
      <w:numFmt w:val="decimal"/>
      <w:start w:val="10"/>
    </w:lvl>
  </w:abstractNum>
  <w:abstractNum w:abstractNumId="11">
    <w:nsid w:val="2A082C70"/>
    <w:multiLevelType w:val="hybridMultilevel"/>
    <w:lvl w:ilvl="0">
      <w:lvlJc w:val="left"/>
      <w:lvlText w:val="%1."/>
      <w:numFmt w:val="decimal"/>
      <w:start w:val="11"/>
    </w:lvl>
  </w:abstractNum>
  <w:abstractNum w:abstractNumId="12">
    <w:nsid w:val="5EC6AFD4"/>
    <w:multiLevelType w:val="hybridMultilevel"/>
    <w:lvl w:ilvl="0">
      <w:lvlJc w:val="left"/>
      <w:lvlText w:val="%1."/>
      <w:numFmt w:val="decimal"/>
      <w:start w:val="11"/>
    </w:lvl>
  </w:abstractNum>
  <w:abstractNum w:abstractNumId="13">
    <w:nsid w:val="19E21BB2"/>
    <w:multiLevelType w:val="hybridMultilevel"/>
    <w:lvl w:ilvl="0">
      <w:lvlJc w:val="left"/>
      <w:lvlText w:val="%1"/>
      <w:numFmt w:val="decimal"/>
      <w:start w:val="101"/>
    </w:lvl>
  </w:abstractNum>
  <w:abstractNum w:abstractNumId="14">
    <w:nsid w:val="75E0858A"/>
    <w:multiLevelType w:val="hybridMultilevel"/>
    <w:lvl w:ilvl="0">
      <w:lvlJc w:val="left"/>
      <w:lvlText w:val="1"/>
      <w:numFmt w:val="bullet"/>
      <w:start w:val="1"/>
    </w:lvl>
  </w:abstractNum>
  <w:abstractNum w:abstractNumId="15">
    <w:nsid w:val="57A61A29"/>
    <w:multiLevelType w:val="hybridMultilevel"/>
    <w:lvl w:ilvl="0">
      <w:lvlJc w:val="left"/>
      <w:lvlText w:val="1"/>
      <w:numFmt w:val="bullet"/>
      <w:start w:val="1"/>
    </w:lvl>
  </w:abstractNum>
  <w:abstractNum w:abstractNumId="16">
    <w:nsid w:val="5399C654"/>
    <w:multiLevelType w:val="hybridMultilevel"/>
    <w:lvl w:ilvl="0">
      <w:lvlJc w:val="left"/>
      <w:lvlText w:val="2"/>
      <w:numFmt w:val="bullet"/>
      <w:start w:val="1"/>
    </w:lvl>
  </w:abstractNum>
  <w:abstractNum w:abstractNumId="17">
    <w:nsid w:val="20EE1348"/>
    <w:multiLevelType w:val="hybridMultilevel"/>
    <w:lvl w:ilvl="0">
      <w:lvlJc w:val="left"/>
      <w:lvlText w:val="2"/>
      <w:numFmt w:val="bullet"/>
      <w:start w:val="1"/>
    </w:lvl>
  </w:abstractNum>
  <w:abstractNum w:abstractNumId="18">
    <w:nsid w:val="4427069A"/>
    <w:multiLevelType w:val="hybridMultilevel"/>
    <w:lvl w:ilvl="0">
      <w:lvlJc w:val="left"/>
      <w:lvlText w:val="1"/>
      <w:numFmt w:val="bullet"/>
      <w:start w:val="1"/>
    </w:lvl>
  </w:abstractNum>
  <w:abstractNum w:abstractNumId="19">
    <w:nsid w:val="B37E80A"/>
    <w:multiLevelType w:val="hybridMultilevel"/>
    <w:lvl w:ilvl="0">
      <w:lvlJc w:val="left"/>
      <w:lvlText w:val="2"/>
      <w:numFmt w:val="bullet"/>
      <w:start w:val="1"/>
    </w:lvl>
  </w:abstractNum>
  <w:abstractNum w:abstractNumId="20">
    <w:nsid w:val="2157F6BC"/>
    <w:multiLevelType w:val="hybridMultilevel"/>
    <w:lvl w:ilvl="0">
      <w:lvlJc w:val="left"/>
      <w:lvlText w:val="2"/>
      <w:numFmt w:val="bullet"/>
      <w:start w:val="1"/>
    </w:lvl>
  </w:abstractNum>
  <w:abstractNum w:abstractNumId="21">
    <w:nsid w:val="704E1DD5"/>
    <w:multiLevelType w:val="hybridMultilevel"/>
    <w:lvl w:ilvl="0">
      <w:lvlJc w:val="left"/>
      <w:lvlText w:val="3"/>
      <w:numFmt w:val="bullet"/>
      <w:start w:val="1"/>
    </w:lvl>
  </w:abstractNum>
  <w:abstractNum w:abstractNumId="22">
    <w:nsid w:val="57D2F10E"/>
    <w:multiLevelType w:val="hybridMultilevel"/>
    <w:lvl w:ilvl="0">
      <w:lvlJc w:val="left"/>
      <w:lvlText w:val="4"/>
      <w:numFmt w:val="bullet"/>
      <w:start w:val="1"/>
    </w:lvl>
    <w:lvl w:ilvl="1">
      <w:lvlJc w:val="left"/>
      <w:lvlText w:val="(%2)"/>
      <w:numFmt w:val="lowerLetter"/>
      <w:start w:val="1"/>
    </w:lvl>
  </w:abstractNum>
  <w:abstractNum w:abstractNumId="23">
    <w:nsid w:val="BFFAE18"/>
    <w:multiLevelType w:val="hybridMultilevel"/>
    <w:lvl w:ilvl="0">
      <w:lvlJc w:val="left"/>
      <w:lvlText w:val="3"/>
      <w:numFmt w:val="bullet"/>
      <w:start w:val="1"/>
    </w:lvl>
  </w:abstractNum>
  <w:abstractNum w:abstractNumId="24">
    <w:nsid w:val="E3E47A8"/>
    <w:multiLevelType w:val="hybridMultilevel"/>
    <w:lvl w:ilvl="0">
      <w:lvlJc w:val="left"/>
      <w:lvlText w:val="4"/>
      <w:numFmt w:val="bullet"/>
      <w:start w:val="1"/>
    </w:lvl>
    <w:lvl w:ilvl="1">
      <w:lvlJc w:val="left"/>
      <w:lvlText w:val="(%2)"/>
      <w:numFmt w:val="lowerLetter"/>
      <w:start w:val="1"/>
    </w:lvl>
  </w:abstractNum>
  <w:abstractNum w:abstractNumId="25">
    <w:nsid w:val="2E48F044"/>
    <w:multiLevelType w:val="hybridMultilevel"/>
    <w:lvl w:ilvl="0">
      <w:lvlJc w:val="left"/>
      <w:lvlText w:val="(%1)"/>
      <w:numFmt w:val="lowerLetter"/>
      <w:start w:val="2"/>
    </w:lvl>
  </w:abstractNum>
  <w:abstractNum w:abstractNumId="26">
    <w:nsid w:val="49D0FEAC"/>
    <w:multiLevelType w:val="hybridMultilevel"/>
    <w:lvl w:ilvl="0">
      <w:lvlJc w:val="left"/>
      <w:lvlText w:val="5"/>
      <w:numFmt w:val="bullet"/>
      <w:start w:val="1"/>
    </w:lvl>
  </w:abstractNum>
  <w:abstractNum w:abstractNumId="27">
    <w:nsid w:val="4BEE5A5B"/>
    <w:multiLevelType w:val="hybridMultilevel"/>
    <w:lvl w:ilvl="0">
      <w:lvlJc w:val="left"/>
      <w:lvlText w:val="(%1)"/>
      <w:numFmt w:val="lowerLetter"/>
      <w:start w:val="2"/>
    </w:lvl>
  </w:abstractNum>
  <w:abstractNum w:abstractNumId="28">
    <w:nsid w:val="5551B9F3"/>
    <w:multiLevelType w:val="hybridMultilevel"/>
    <w:lvl w:ilvl="0">
      <w:lvlJc w:val="left"/>
      <w:lvlText w:val="5"/>
      <w:numFmt w:val="bullet"/>
      <w:start w:val="1"/>
    </w:lvl>
  </w:abstractNum>
  <w:abstractNum w:abstractNumId="29">
    <w:nsid w:val="24F6AB8E"/>
    <w:multiLevelType w:val="hybridMultilevel"/>
    <w:lvl w:ilvl="0">
      <w:lvlJc w:val="left"/>
      <w:lvlText w:val="6"/>
      <w:numFmt w:val="bullet"/>
      <w:start w:val="1"/>
    </w:lvl>
  </w:abstractNum>
  <w:abstractNum w:abstractNumId="30">
    <w:nsid w:val="634C574C"/>
    <w:multiLevelType w:val="hybridMultilevel"/>
    <w:lvl w:ilvl="0">
      <w:lvlJc w:val="left"/>
      <w:lvlText w:val="7"/>
      <w:numFmt w:val="bullet"/>
      <w:start w:val="1"/>
    </w:lvl>
  </w:abstractNum>
  <w:abstractNum w:abstractNumId="31">
    <w:nsid w:val="24E99DD7"/>
    <w:multiLevelType w:val="hybridMultilevel"/>
    <w:lvl w:ilvl="0">
      <w:lvlJc w:val="left"/>
      <w:lvlText w:val="8"/>
      <w:numFmt w:val="bullet"/>
      <w:start w:val="1"/>
    </w:lvl>
  </w:abstractNum>
  <w:abstractNum w:abstractNumId="32">
    <w:nsid w:val="2A31B62D"/>
    <w:multiLevelType w:val="hybridMultilevel"/>
    <w:lvl w:ilvl="0">
      <w:lvlJc w:val="left"/>
      <w:lvlText w:val="9"/>
      <w:numFmt w:val="bullet"/>
      <w:start w:val="1"/>
    </w:lvl>
  </w:abstractNum>
  <w:abstractNum w:abstractNumId="33">
    <w:nsid w:val="1849C29B"/>
    <w:multiLevelType w:val="hybridMultilevel"/>
    <w:lvl w:ilvl="0">
      <w:lvlJc w:val="left"/>
      <w:lvlText w:val="%1"/>
      <w:numFmt w:val="decimal"/>
      <w:start w:val="10"/>
    </w:lvl>
  </w:abstractNum>
  <w:abstractNum w:abstractNumId="34">
    <w:nsid w:val="7DFF9D09"/>
    <w:multiLevelType w:val="hybridMultilevel"/>
    <w:lvl w:ilvl="0">
      <w:lvlJc w:val="left"/>
      <w:lvlText w:val="6"/>
      <w:numFmt w:val="bullet"/>
      <w:start w:val="1"/>
    </w:lvl>
  </w:abstractNum>
  <w:abstractNum w:abstractNumId="35">
    <w:nsid w:val="754342"/>
    <w:multiLevelType w:val="hybridMultilevel"/>
    <w:lvl w:ilvl="0">
      <w:lvlJc w:val="left"/>
      <w:lvlText w:val="7"/>
      <w:numFmt w:val="bullet"/>
      <w:start w:val="1"/>
    </w:lvl>
  </w:abstractNum>
  <w:abstractNum w:abstractNumId="36">
    <w:nsid w:val="69E7F3E5"/>
    <w:multiLevelType w:val="hybridMultilevel"/>
    <w:lvl w:ilvl="0">
      <w:lvlJc w:val="left"/>
      <w:lvlText w:val="8"/>
      <w:numFmt w:val="bullet"/>
      <w:start w:val="1"/>
    </w:lvl>
  </w:abstractNum>
  <w:abstractNum w:abstractNumId="37">
    <w:nsid w:val="2A6DE806"/>
    <w:multiLevelType w:val="hybridMultilevel"/>
    <w:lvl w:ilvl="0">
      <w:lvlJc w:val="left"/>
      <w:lvlText w:val="9"/>
      <w:numFmt w:val="bullet"/>
      <w:start w:val="1"/>
    </w:lvl>
  </w:abstractNum>
  <w:abstractNum w:abstractNumId="38">
    <w:nsid w:val="1816F8C4"/>
    <w:multiLevelType w:val="hybridMultilevel"/>
    <w:lvl w:ilvl="0">
      <w:lvlJc w:val="left"/>
      <w:lvlText w:val="%1"/>
      <w:numFmt w:val="decimal"/>
      <w:start w:val="10"/>
    </w:lvl>
  </w:abstractNum>
  <w:abstractNum w:abstractNumId="39">
    <w:nsid w:val="37DF2233"/>
    <w:multiLevelType w:val="hybridMultilevel"/>
    <w:lvl w:ilvl="0">
      <w:lvlJc w:val="left"/>
      <w:lvlText w:val="(%1)"/>
      <w:numFmt w:val="lowerLetter"/>
      <w:start w:val="1"/>
    </w:lvl>
  </w:abstractNum>
  <w:abstractNum w:abstractNumId="40">
    <w:nsid w:val="7AB49DAF"/>
    <w:multiLevelType w:val="hybridMultilevel"/>
    <w:lvl w:ilvl="0">
      <w:lvlJc w:val="left"/>
      <w:lvlText w:val="(%1)"/>
      <w:numFmt w:val="lowerLetter"/>
      <w:start w:val="1"/>
    </w:lvl>
  </w:abstractNum>
  <w:abstractNum w:abstractNumId="41">
    <w:nsid w:val="759F82CD"/>
    <w:multiLevelType w:val="hybridMultilevel"/>
    <w:lvl w:ilvl="0">
      <w:lvlJc w:val="left"/>
      <w:lvlText w:val="(%1)"/>
      <w:numFmt w:val="lowerLetter"/>
      <w:start w:val="2"/>
    </w:lvl>
  </w:abstractNum>
  <w:abstractNum w:abstractNumId="42">
    <w:nsid w:val="61E74EA3"/>
    <w:multiLevelType w:val="hybridMultilevel"/>
    <w:lvl w:ilvl="0">
      <w:lvlJc w:val="left"/>
      <w:lvlText w:val="(%1)"/>
      <w:numFmt w:val="lowerLetter"/>
      <w:start w:val="2"/>
    </w:lvl>
  </w:abstractNum>
  <w:abstractNum w:abstractNumId="43">
    <w:nsid w:val="597B4D84"/>
    <w:multiLevelType w:val="hybridMultilevel"/>
    <w:lvl w:ilvl="0">
      <w:lvlJc w:val="left"/>
      <w:lvlText w:val="2"/>
      <w:numFmt w:val="bullet"/>
      <w:start w:val="1"/>
    </w:lvl>
  </w:abstractNum>
  <w:abstractNum w:abstractNumId="44">
    <w:nsid w:val="F819E7F"/>
    <w:multiLevelType w:val="hybridMultilevel"/>
    <w:lvl w:ilvl="0">
      <w:lvlJc w:val="left"/>
      <w:lvlText w:val="2"/>
      <w:numFmt w:val="bullet"/>
      <w:start w:val="1"/>
    </w:lvl>
  </w:abstractNum>
  <w:abstractNum w:abstractNumId="45">
    <w:nsid w:val="57C7D42D"/>
    <w:multiLevelType w:val="hybridMultilevel"/>
    <w:lvl w:ilvl="0">
      <w:lvlJc w:val="left"/>
      <w:lvlText w:val="3"/>
      <w:numFmt w:val="bullet"/>
      <w:start w:val="1"/>
    </w:lvl>
    <w:lvl w:ilvl="1">
      <w:lvlJc w:val="left"/>
      <w:lvlText w:val="(%2)"/>
      <w:numFmt w:val="lowerLetter"/>
      <w:start w:val="1"/>
    </w:lvl>
  </w:abstractNum>
  <w:abstractNum w:abstractNumId="46">
    <w:nsid w:val="312167AD"/>
    <w:multiLevelType w:val="hybridMultilevel"/>
    <w:lvl w:ilvl="0">
      <w:lvlJc w:val="left"/>
      <w:lvlText w:val="4"/>
      <w:numFmt w:val="bullet"/>
      <w:start w:val="1"/>
    </w:lvl>
  </w:abstractNum>
  <w:abstractNum w:abstractNumId="47">
    <w:nsid w:val="631B64D4"/>
    <w:multiLevelType w:val="hybridMultilevel"/>
    <w:lvl w:ilvl="0">
      <w:lvlJc w:val="left"/>
      <w:lvlText w:val="3"/>
      <w:numFmt w:val="bullet"/>
      <w:start w:val="1"/>
    </w:lvl>
    <w:lvl w:ilvl="1">
      <w:lvlJc w:val="left"/>
      <w:lvlText w:val="(%2)"/>
      <w:numFmt w:val="lowerLetter"/>
      <w:start w:val="1"/>
    </w:lvl>
  </w:abstractNum>
  <w:abstractNum w:abstractNumId="48">
    <w:nsid w:val="78B5E776"/>
    <w:multiLevelType w:val="hybridMultilevel"/>
    <w:lvl w:ilvl="0">
      <w:lvlJc w:val="left"/>
      <w:lvlText w:val="4"/>
      <w:numFmt w:val="bullet"/>
      <w:start w:val="1"/>
    </w:lvl>
  </w:abstractNum>
  <w:abstractNum w:abstractNumId="49">
    <w:nsid w:val="75486E47"/>
    <w:multiLevelType w:val="hybridMultilevel"/>
    <w:lvl w:ilvl="0">
      <w:lvlJc w:val="left"/>
      <w:lvlText w:val="5"/>
      <w:numFmt w:val="bullet"/>
      <w:start w:val="1"/>
    </w:lvl>
  </w:abstractNum>
  <w:abstractNum w:abstractNumId="50">
    <w:nsid w:val="6E534CDE"/>
    <w:multiLevelType w:val="hybridMultilevel"/>
    <w:lvl w:ilvl="0">
      <w:lvlJc w:val="left"/>
      <w:lvlText w:val="5"/>
      <w:numFmt w:val="bullet"/>
      <w:start w:val="1"/>
    </w:lvl>
  </w:abstractNum>
  <w:abstractNum w:abstractNumId="51">
    <w:nsid w:val="1A0DDE32"/>
    <w:multiLevelType w:val="hybridMultilevel"/>
    <w:lvl w:ilvl="0">
      <w:lvlJc w:val="left"/>
      <w:lvlText w:val="1"/>
      <w:numFmt w:val="bullet"/>
      <w:start w:val="1"/>
    </w:lvl>
  </w:abstractNum>
  <w:abstractNum w:abstractNumId="52">
    <w:nsid w:val="65968C1C"/>
    <w:multiLevelType w:val="hybridMultilevel"/>
    <w:lvl w:ilvl="0">
      <w:lvlJc w:val="left"/>
      <w:lvlText w:val="2"/>
      <w:numFmt w:val="bullet"/>
      <w:start w:val="1"/>
    </w:lvl>
  </w:abstractNum>
  <w:abstractNum w:abstractNumId="53">
    <w:nsid w:val="46263DEC"/>
    <w:multiLevelType w:val="hybridMultilevel"/>
    <w:lvl w:ilvl="0">
      <w:lvlJc w:val="left"/>
      <w:lvlText w:val="1"/>
      <w:numFmt w:val="bullet"/>
      <w:start w:val="1"/>
    </w:lvl>
  </w:abstractNum>
  <w:abstractNum w:abstractNumId="54">
    <w:nsid w:val="260D8C4A"/>
    <w:multiLevelType w:val="hybridMultilevel"/>
    <w:lvl w:ilvl="0">
      <w:lvlJc w:val="left"/>
      <w:lvlText w:val="2"/>
      <w:numFmt w:val="bullet"/>
      <w:start w:val="1"/>
    </w:lvl>
  </w:abstractNum>
  <w:abstractNum w:abstractNumId="55">
    <w:nsid w:val="73D4D3C4"/>
    <w:multiLevelType w:val="hybridMultilevel"/>
    <w:lvl w:ilvl="0">
      <w:lvlJc w:val="left"/>
      <w:lvlText w:val="3"/>
      <w:numFmt w:val="bullet"/>
      <w:start w:val="1"/>
    </w:lvl>
  </w:abstractNum>
  <w:abstractNum w:abstractNumId="56">
    <w:nsid w:val="746F2E30"/>
    <w:multiLevelType w:val="hybridMultilevel"/>
    <w:lvl w:ilvl="0">
      <w:lvlJc w:val="left"/>
      <w:lvlText w:val="2"/>
      <w:numFmt w:val="bullet"/>
      <w:start w:val="1"/>
    </w:lvl>
  </w:abstractNum>
  <w:abstractNum w:abstractNumId="57">
    <w:nsid w:val="6FDE8AF6"/>
    <w:multiLevelType w:val="hybridMultilevel"/>
    <w:lvl w:ilvl="0">
      <w:lvlJc w:val="left"/>
      <w:lvlText w:val="3"/>
      <w:numFmt w:val="bullet"/>
      <w:start w:val="1"/>
    </w:lvl>
  </w:abstractNum>
  <w:abstractNum w:abstractNumId="58">
    <w:nsid w:val="3FC32E20"/>
    <w:multiLevelType w:val="hybridMultilevel"/>
    <w:lvl w:ilvl="0">
      <w:lvlJc w:val="left"/>
      <w:lvlText w:val="4"/>
      <w:numFmt w:val="bullet"/>
      <w:start w:val="1"/>
    </w:lvl>
  </w:abstractNum>
  <w:abstractNum w:abstractNumId="59">
    <w:nsid w:val="49C0E823"/>
    <w:multiLevelType w:val="hybridMultilevel"/>
    <w:lvl w:ilvl="0">
      <w:lvlJc w:val="left"/>
      <w:lvlText w:val="3"/>
      <w:numFmt w:val="bullet"/>
      <w:start w:val="1"/>
    </w:lvl>
  </w:abstractNum>
  <w:abstractNum w:abstractNumId="60">
    <w:nsid w:val="14D53685"/>
    <w:multiLevelType w:val="hybridMultilevel"/>
    <w:lvl w:ilvl="0">
      <w:lvlJc w:val="left"/>
      <w:lvlText w:val="1"/>
      <w:numFmt w:val="bullet"/>
      <w:start w:val="1"/>
    </w:lvl>
  </w:abstractNum>
  <w:abstractNum w:abstractNumId="61">
    <w:nsid w:val="230F856C"/>
    <w:multiLevelType w:val="hybridMultilevel"/>
    <w:lvl w:ilvl="0">
      <w:lvlJc w:val="left"/>
      <w:lvlText w:val="2"/>
      <w:numFmt w:val="bullet"/>
      <w:start w:val="1"/>
    </w:lvl>
  </w:abstractNum>
  <w:abstractNum w:abstractNumId="62">
    <w:nsid w:val="6EAA85FB"/>
    <w:multiLevelType w:val="hybridMultilevel"/>
    <w:lvl w:ilvl="0">
      <w:lvlJc w:val="left"/>
      <w:lvlText w:val="3"/>
      <w:numFmt w:val="bullet"/>
      <w:start w:val="1"/>
    </w:lvl>
  </w:abstractNum>
  <w:abstractNum w:abstractNumId="63">
    <w:nsid w:val="3F06ECB2"/>
    <w:multiLevelType w:val="hybridMultilevel"/>
    <w:lvl w:ilvl="0">
      <w:lvlJc w:val="left"/>
      <w:lvlText w:val="4"/>
      <w:numFmt w:val="bullet"/>
      <w:start w:val="1"/>
    </w:lvl>
  </w:abstractNum>
  <w:abstractNum w:abstractNumId="64">
    <w:nsid w:val="3B594807"/>
    <w:multiLevelType w:val="hybridMultilevel"/>
    <w:lvl w:ilvl="0">
      <w:lvlJc w:val="left"/>
      <w:lvlText w:val="2"/>
      <w:numFmt w:val="bullet"/>
      <w:start w:val="1"/>
    </w:lvl>
  </w:abstractNum>
  <w:abstractNum w:abstractNumId="65">
    <w:nsid w:val="6CAA2304"/>
    <w:multiLevelType w:val="hybridMultilevel"/>
    <w:lvl w:ilvl="0">
      <w:lvlJc w:val="left"/>
      <w:lvlText w:val="1"/>
      <w:numFmt w:val="bullet"/>
      <w:start w:val="1"/>
    </w:lvl>
  </w:abstractNum>
  <w:abstractNum w:abstractNumId="66">
    <w:nsid w:val="3F7C2FF4"/>
    <w:multiLevelType w:val="hybridMultilevel"/>
    <w:lvl w:ilvl="0">
      <w:lvlJc w:val="left"/>
      <w:lvlText w:val="2"/>
      <w:numFmt w:val="bullet"/>
      <w:start w:val="1"/>
    </w:lvl>
  </w:abstractNum>
  <w:abstractNum w:abstractNumId="67">
    <w:nsid w:val="25413BEC"/>
    <w:multiLevelType w:val="hybridMultilevel"/>
    <w:lvl w:ilvl="0">
      <w:lvlJc w:val="left"/>
      <w:lvlText w:val="2"/>
      <w:numFmt w:val="bullet"/>
      <w:start w:val="1"/>
    </w:lvl>
  </w:abstractNum>
  <w:abstractNum w:abstractNumId="68">
    <w:nsid w:val="17180B0B"/>
    <w:multiLevelType w:val="hybridMultilevel"/>
    <w:lvl w:ilvl="0">
      <w:lvlJc w:val="left"/>
      <w:lvlText w:val="1"/>
      <w:numFmt w:val="bullet"/>
      <w:start w:val="1"/>
    </w:lvl>
  </w:abstractNum>
  <w:abstractNum w:abstractNumId="69">
    <w:nsid w:val="579328B9"/>
    <w:multiLevelType w:val="hybridMultilevel"/>
    <w:lvl w:ilvl="0">
      <w:lvlJc w:val="left"/>
      <w:lvlText w:val="2"/>
      <w:numFmt w:val="bullet"/>
      <w:start w:val="1"/>
    </w:lvl>
  </w:abstractNum>
  <w:abstractNum w:abstractNumId="70">
    <w:nsid w:val="5D205E20"/>
    <w:multiLevelType w:val="hybridMultilevel"/>
    <w:lvl w:ilvl="0">
      <w:lvlJc w:val="left"/>
      <w:lvlText w:val="2"/>
      <w:numFmt w:val="bullet"/>
      <w:start w:val="1"/>
    </w:lvl>
  </w:abstractNum>
  <w:abstractNum w:abstractNumId="71">
    <w:nsid w:val="11CCA8BA"/>
    <w:multiLevelType w:val="hybridMultilevel"/>
    <w:lvl w:ilvl="0">
      <w:lvlJc w:val="left"/>
      <w:lvlText w:val="2"/>
      <w:numFmt w:val="bullet"/>
      <w:start w:val="1"/>
    </w:lvl>
  </w:abstractNum>
  <w:abstractNum w:abstractNumId="72">
    <w:nsid w:val="4D32AB86"/>
    <w:multiLevelType w:val="hybridMultilevel"/>
    <w:lvl w:ilvl="0">
      <w:lvlJc w:val="left"/>
      <w:lvlText w:val="2"/>
      <w:numFmt w:val="bullet"/>
      <w:start w:val="1"/>
    </w:lvl>
    <w:lvl w:ilvl="1">
      <w:lvlJc w:val="left"/>
      <w:lvlText w:val="(%2)"/>
      <w:numFmt w:val="lowerRoman"/>
      <w:start w:val="2"/>
    </w:lvl>
  </w:abstractNum>
  <w:abstractNum w:abstractNumId="73">
    <w:nsid w:val="3F07ACC3"/>
    <w:multiLevelType w:val="hybridMultilevel"/>
    <w:lvl w:ilvl="0">
      <w:lvlJc w:val="left"/>
      <w:lvlText w:val="3"/>
      <w:numFmt w:val="bullet"/>
      <w:start w:val="1"/>
    </w:lvl>
  </w:abstractNum>
  <w:abstractNum w:abstractNumId="74">
    <w:nsid w:val="6B47F63E"/>
    <w:multiLevelType w:val="hybridMultilevel"/>
    <w:lvl w:ilvl="0">
      <w:lvlJc w:val="left"/>
      <w:lvlText w:val="3"/>
      <w:numFmt w:val="bullet"/>
      <w:start w:val="1"/>
    </w:lvl>
  </w:abstractNum>
  <w:abstractNum w:abstractNumId="75">
    <w:nsid w:val="5CB44A05"/>
    <w:multiLevelType w:val="hybridMultilevel"/>
    <w:lvl w:ilvl="0">
      <w:lvlJc w:val="left"/>
      <w:lvlText w:val="1"/>
      <w:numFmt w:val="bullet"/>
      <w:start w:val="1"/>
    </w:lvl>
  </w:abstractNum>
  <w:abstractNum w:abstractNumId="76">
    <w:nsid w:val="16CF80F1"/>
    <w:multiLevelType w:val="hybridMultilevel"/>
    <w:lvl w:ilvl="0">
      <w:lvlJc w:val="left"/>
      <w:lvlText w:val="2"/>
      <w:numFmt w:val="bullet"/>
      <w:start w:val="1"/>
    </w:lvl>
  </w:abstractNum>
  <w:abstractNum w:abstractNumId="77">
    <w:nsid w:val="1C695DEC"/>
    <w:multiLevelType w:val="hybridMultilevel"/>
    <w:lvl w:ilvl="0">
      <w:lvlJc w:val="left"/>
      <w:lvlText w:val="3"/>
      <w:numFmt w:val="bullet"/>
      <w:start w:val="1"/>
    </w:lvl>
  </w:abstractNum>
  <w:abstractNum w:abstractNumId="78">
    <w:nsid w:val="3FCFAED9"/>
    <w:multiLevelType w:val="hybridMultilevel"/>
    <w:lvl w:ilvl="0">
      <w:lvlJc w:val="left"/>
      <w:lvlText w:val="3"/>
      <w:numFmt w:val="bullet"/>
      <w:start w:val="1"/>
    </w:lvl>
  </w:abstractNum>
  <w:abstractNum w:abstractNumId="79">
    <w:nsid w:val="F856867"/>
    <w:multiLevelType w:val="hybridMultilevel"/>
    <w:lvl w:ilvl="0">
      <w:lvlJc w:val="left"/>
      <w:lvlText w:val="1"/>
      <w:numFmt w:val="bullet"/>
      <w:start w:val="1"/>
    </w:lvl>
  </w:abstractNum>
  <w:abstractNum w:abstractNumId="80">
    <w:nsid w:val="11B1CC33"/>
    <w:multiLevelType w:val="hybridMultilevel"/>
    <w:lvl w:ilvl="0">
      <w:lvlJc w:val="left"/>
      <w:lvlText w:val="1"/>
      <w:numFmt w:val="bullet"/>
      <w:start w:val="1"/>
    </w:lvl>
  </w:abstractNum>
  <w:abstractNum w:abstractNumId="81">
    <w:nsid w:val="2E22FBB7"/>
    <w:multiLevelType w:val="hybridMultilevel"/>
    <w:lvl w:ilvl="0">
      <w:lvlJc w:val="left"/>
      <w:lvlText w:val="2"/>
      <w:numFmt w:val="bullet"/>
      <w:start w:val="1"/>
    </w:lvl>
  </w:abstractNum>
  <w:abstractNum w:abstractNumId="82">
    <w:nsid w:val="29934699"/>
    <w:multiLevelType w:val="hybridMultilevel"/>
    <w:lvl w:ilvl="0">
      <w:lvlJc w:val="left"/>
      <w:lvlText w:val="2"/>
      <w:numFmt w:val="bullet"/>
      <w:start w:val="1"/>
    </w:lvl>
  </w:abstractNum>
  <w:abstractNum w:abstractNumId="83">
    <w:nsid w:val="77485850"/>
    <w:multiLevelType w:val="hybridMultilevel"/>
    <w:lvl w:ilvl="0">
      <w:lvlJc w:val="left"/>
      <w:lvlText w:val="2"/>
      <w:numFmt w:val="bullet"/>
      <w:start w:val="1"/>
    </w:lvl>
  </w:abstractNum>
  <w:abstractNum w:abstractNumId="84">
    <w:nsid w:val="744939A3"/>
    <w:multiLevelType w:val="hybridMultilevel"/>
    <w:lvl w:ilvl="0">
      <w:lvlJc w:val="left"/>
      <w:lvlText w:val="2"/>
      <w:numFmt w:val="bullet"/>
      <w:start w:val="1"/>
    </w:lvl>
  </w:abstractNum>
  <w:abstractNum w:abstractNumId="85">
    <w:nsid w:val="4FA0D2E3"/>
    <w:multiLevelType w:val="hybridMultilevel"/>
    <w:lvl w:ilvl="0">
      <w:lvlJc w:val="left"/>
      <w:lvlText w:val="3"/>
      <w:numFmt w:val="bullet"/>
      <w:start w:val="1"/>
    </w:lvl>
  </w:abstractNum>
  <w:abstractNum w:abstractNumId="86">
    <w:nsid w:val="6B1D2C14"/>
    <w:multiLevelType w:val="hybridMultilevel"/>
    <w:lvl w:ilvl="0">
      <w:lvlJc w:val="left"/>
      <w:lvlText w:val="4"/>
      <w:numFmt w:val="bullet"/>
      <w:start w:val="1"/>
    </w:lvl>
  </w:abstractNum>
  <w:abstractNum w:abstractNumId="87">
    <w:nsid w:val="68B867D3"/>
    <w:multiLevelType w:val="hybridMultilevel"/>
    <w:lvl w:ilvl="0">
      <w:lvlJc w:val="left"/>
      <w:lvlText w:val="5"/>
      <w:numFmt w:val="bullet"/>
      <w:start w:val="1"/>
    </w:lvl>
  </w:abstractNum>
  <w:abstractNum w:abstractNumId="88">
    <w:nsid w:val="3F7F5DD9"/>
    <w:multiLevelType w:val="hybridMultilevel"/>
    <w:lvl w:ilvl="0">
      <w:lvlJc w:val="left"/>
      <w:lvlText w:val="3"/>
      <w:numFmt w:val="bullet"/>
      <w:start w:val="1"/>
    </w:lvl>
  </w:abstractNum>
  <w:abstractNum w:abstractNumId="89">
    <w:nsid w:val="2AE05A34"/>
    <w:multiLevelType w:val="hybridMultilevel"/>
    <w:lvl w:ilvl="0">
      <w:lvlJc w:val="left"/>
      <w:lvlText w:val="4"/>
      <w:numFmt w:val="bullet"/>
      <w:start w:val="1"/>
    </w:lvl>
  </w:abstractNum>
  <w:abstractNum w:abstractNumId="90">
    <w:nsid w:val="32794FF7"/>
    <w:multiLevelType w:val="hybridMultilevel"/>
    <w:lvl w:ilvl="0">
      <w:lvlJc w:val="left"/>
      <w:lvlText w:val="5"/>
      <w:numFmt w:val="bullet"/>
      <w:start w:val="1"/>
    </w:lvl>
  </w:abstractNum>
  <w:abstractNum w:abstractNumId="91">
    <w:nsid w:val="5454945E"/>
    <w:multiLevelType w:val="hybridMultilevel"/>
    <w:lvl w:ilvl="0">
      <w:lvlJc w:val="left"/>
      <w:lvlText w:val="(%1)"/>
      <w:numFmt w:val="lowerLetter"/>
      <w:start w:val="1"/>
    </w:lvl>
  </w:abstractNum>
  <w:abstractNum w:abstractNumId="92">
    <w:nsid w:val="4DEFDFA0"/>
    <w:multiLevelType w:val="hybridMultilevel"/>
    <w:lvl w:ilvl="0">
      <w:lvlJc w:val="left"/>
      <w:lvlText w:val="(%1)"/>
      <w:numFmt w:val="lowerLetter"/>
      <w:start w:val="1"/>
    </w:lvl>
  </w:abstractNum>
  <w:abstractNum w:abstractNumId="93">
    <w:nsid w:val="2123D5F2"/>
    <w:multiLevelType w:val="hybridMultilevel"/>
    <w:lvl w:ilvl="0">
      <w:lvlJc w:val="left"/>
      <w:lvlText w:val="(%1)"/>
      <w:numFmt w:val="lowerLetter"/>
      <w:start w:val="5"/>
    </w:lvl>
  </w:abstractNum>
  <w:abstractNum w:abstractNumId="94">
    <w:nsid w:val="135B8110"/>
    <w:multiLevelType w:val="hybridMultilevel"/>
    <w:lvl w:ilvl="0">
      <w:lvlJc w:val="left"/>
      <w:lvlText w:val="(%1)"/>
      <w:numFmt w:val="lowerLetter"/>
      <w:start w:val="5"/>
    </w:lvl>
  </w:abstractNum>
  <w:abstractNum w:abstractNumId="95">
    <w:nsid w:val="94927A8"/>
    <w:multiLevelType w:val="hybridMultilevel"/>
    <w:lvl w:ilvl="0">
      <w:lvlJc w:val="left"/>
      <w:lvlText w:val="1"/>
      <w:numFmt w:val="bullet"/>
      <w:start w:val="1"/>
    </w:lvl>
    <w:lvl w:ilvl="1">
      <w:lvlJc w:val="left"/>
      <w:lvlText w:val="(%2)"/>
      <w:numFmt w:val="lowerLetter"/>
      <w:start w:val="1"/>
    </w:lvl>
  </w:abstractNum>
  <w:abstractNum w:abstractNumId="96">
    <w:nsid w:val="DCDF8F6"/>
    <w:multiLevelType w:val="hybridMultilevel"/>
    <w:lvl w:ilvl="0">
      <w:lvlJc w:val="left"/>
      <w:lvlText w:val="(%1)"/>
      <w:numFmt w:val="lowerLetter"/>
      <w:start w:val="10"/>
    </w:lvl>
  </w:abstractNum>
  <w:abstractNum w:abstractNumId="97">
    <w:nsid w:val="52D7B105"/>
    <w:multiLevelType w:val="hybridMultilevel"/>
    <w:lvl w:ilvl="0">
      <w:lvlJc w:val="left"/>
      <w:lvlText w:val="(%1)"/>
      <w:numFmt w:val="lowerLetter"/>
      <w:start w:val="1"/>
    </w:lvl>
  </w:abstractNum>
  <w:abstractNum w:abstractNumId="98">
    <w:nsid w:val="2E8A6394"/>
    <w:multiLevelType w:val="hybridMultilevel"/>
    <w:lvl w:ilvl="0">
      <w:lvlJc w:val="left"/>
      <w:lvlText w:val="2"/>
      <w:numFmt w:val="bullet"/>
      <w:start w:val="1"/>
    </w:lvl>
    <w:lvl w:ilvl="1">
      <w:lvlJc w:val="left"/>
      <w:lvlText w:val="(%2)"/>
      <w:numFmt w:val="lowerLetter"/>
      <w:start w:val="1"/>
    </w:lvl>
  </w:abstractNum>
  <w:abstractNum w:abstractNumId="99">
    <w:nsid w:val="24E60401"/>
    <w:multiLevelType w:val="hybridMultilevel"/>
    <w:lvl w:ilvl="0">
      <w:lvlJc w:val="left"/>
      <w:lvlText w:val="2"/>
      <w:numFmt w:val="bullet"/>
      <w:start w:val="1"/>
    </w:lvl>
    <w:lvl w:ilvl="1">
      <w:lvlJc w:val="left"/>
      <w:lvlText w:val="(%2)"/>
      <w:numFmt w:val="lowerLetter"/>
      <w:start w:val="1"/>
    </w:lvl>
  </w:abstractNum>
  <w:abstractNum w:abstractNumId="100">
    <w:nsid w:val="2A6AD9BE"/>
    <w:multiLevelType w:val="hybridMultilevel"/>
    <w:lvl w:ilvl="0">
      <w:lvlJc w:val="left"/>
      <w:lvlText w:val="(%1)"/>
      <w:numFmt w:val="lowerLetter"/>
      <w:start w:val="2"/>
    </w:lvl>
  </w:abstractNum>
  <w:abstractNum w:abstractNumId="101">
    <w:nsid w:val="BAAC1B4"/>
    <w:multiLevelType w:val="hybridMultilevel"/>
    <w:lvl w:ilvl="0">
      <w:lvlJc w:val="left"/>
      <w:lvlText w:val="3"/>
      <w:numFmt w:val="bullet"/>
      <w:start w:val="1"/>
    </w:lvl>
    <w:lvl w:ilvl="1">
      <w:lvlJc w:val="left"/>
      <w:lvlText w:val="(%2)"/>
      <w:numFmt w:val="lowerLetter"/>
      <w:start w:val="1"/>
    </w:lvl>
  </w:abstractNum>
  <w:abstractNum w:abstractNumId="102">
    <w:nsid w:val="36B2ACBC"/>
    <w:multiLevelType w:val="hybridMultilevel"/>
    <w:lvl w:ilvl="0">
      <w:lvlJc w:val="left"/>
      <w:lvlText w:val="(%1)"/>
      <w:numFmt w:val="lowerLetter"/>
      <w:start w:val="2"/>
    </w:lvl>
  </w:abstractNum>
  <w:abstractNum w:abstractNumId="103">
    <w:nsid w:val="779D8544"/>
    <w:multiLevelType w:val="hybridMultilevel"/>
    <w:lvl w:ilvl="0">
      <w:lvlJc w:val="left"/>
      <w:lvlText w:val="3"/>
      <w:numFmt w:val="bullet"/>
      <w:start w:val="1"/>
    </w:lvl>
    <w:lvl w:ilvl="1">
      <w:lvlJc w:val="left"/>
      <w:lvlText w:val="(%2)"/>
      <w:numFmt w:val="lowerLetter"/>
      <w:start w:val="1"/>
    </w:lvl>
  </w:abstractNum>
  <w:abstractNum w:abstractNumId="104">
    <w:nsid w:val="4AB26E78"/>
    <w:multiLevelType w:val="hybridMultilevel"/>
    <w:lvl w:ilvl="0">
      <w:lvlJc w:val="left"/>
      <w:lvlText w:val="%1"/>
      <w:numFmt w:val="lowerLetter"/>
      <w:start w:val="1"/>
    </w:lvl>
    <w:lvl w:ilvl="1">
      <w:lvlJc w:val="left"/>
      <w:lvlText w:val="(%2)"/>
      <w:numFmt w:val="lowerLetter"/>
      <w:start w:val="24"/>
    </w:lvl>
  </w:abstractNum>
  <w:abstractNum w:abstractNumId="105">
    <w:nsid w:val="21FAA2FA"/>
    <w:multiLevelType w:val="hybridMultilevel"/>
    <w:lvl w:ilvl="0">
      <w:lvlJc w:val="left"/>
      <w:lvlText w:val="(%1)"/>
      <w:numFmt w:val="lowerLetter"/>
      <w:start w:val="3"/>
    </w:lvl>
    <w:lvl w:ilvl="1">
      <w:lvlJc w:val="left"/>
      <w:lvlText w:val="(%2)"/>
      <w:numFmt w:val="lowerLetter"/>
      <w:start w:val="9"/>
    </w:lvl>
  </w:abstractNum>
  <w:abstractNum w:abstractNumId="106">
    <w:nsid w:val="5451CF49"/>
    <w:multiLevelType w:val="hybridMultilevel"/>
    <w:lvl w:ilvl="0">
      <w:lvlJc w:val="left"/>
      <w:lvlText w:val="%1"/>
      <w:numFmt w:val="lowerLetter"/>
      <w:start w:val="1"/>
    </w:lvl>
    <w:lvl w:ilvl="1">
      <w:lvlJc w:val="left"/>
      <w:lvlText w:val="(%2)"/>
      <w:numFmt w:val="lowerLetter"/>
      <w:start w:val="35"/>
    </w:lvl>
  </w:abstractNum>
  <w:abstractNum w:abstractNumId="107">
    <w:nsid w:val="6181EF69"/>
    <w:multiLevelType w:val="hybridMultilevel"/>
    <w:lvl w:ilvl="0">
      <w:lvlJc w:val="left"/>
      <w:lvlText w:val="(%1)"/>
      <w:numFmt w:val="lowerLetter"/>
      <w:start w:val="3"/>
    </w:lvl>
  </w:abstractNum>
  <w:abstractNum w:abstractNumId="108">
    <w:nsid w:val="3E6400E6"/>
    <w:multiLevelType w:val="hybridMultilevel"/>
    <w:lvl w:ilvl="0">
      <w:lvlJc w:val="left"/>
      <w:lvlText w:val="(%1)"/>
      <w:numFmt w:val="lowerRoman"/>
      <w:start w:val="10"/>
    </w:lvl>
  </w:abstractNum>
  <w:abstractNum w:abstractNumId="109">
    <w:nsid w:val="14217E23"/>
    <w:multiLevelType w:val="hybridMultilevel"/>
    <w:lvl w:ilvl="0">
      <w:lvlJc w:val="left"/>
      <w:lvlText w:val="(%1)"/>
      <w:numFmt w:val="lowerLetter"/>
      <w:start w:val="1"/>
    </w:lvl>
  </w:abstractNum>
  <w:abstractNum w:abstractNumId="110">
    <w:nsid w:val="710757D0"/>
    <w:multiLevelType w:val="hybridMultilevel"/>
    <w:lvl w:ilvl="0">
      <w:lvlJc w:val="left"/>
      <w:lvlText w:val="(%1)"/>
      <w:numFmt w:val="lowerLetter"/>
      <w:start w:val="1"/>
    </w:lvl>
  </w:abstractNum>
  <w:abstractNum w:abstractNumId="111">
    <w:nsid w:val="5015CD1A"/>
    <w:multiLevelType w:val="hybridMultilevel"/>
    <w:lvl w:ilvl="0">
      <w:lvlJc w:val="left"/>
      <w:lvlText w:val="2"/>
      <w:numFmt w:val="bullet"/>
      <w:start w:val="1"/>
    </w:lvl>
  </w:abstractNum>
  <w:abstractNum w:abstractNumId="112">
    <w:nsid w:val="424479DA"/>
    <w:multiLevelType w:val="hybridMultilevel"/>
    <w:lvl w:ilvl="0">
      <w:lvlJc w:val="left"/>
      <w:lvlText w:val="2"/>
      <w:numFmt w:val="bullet"/>
      <w:start w:val="1"/>
    </w:lvl>
  </w:abstractNum>
  <w:abstractNum w:abstractNumId="113">
    <w:nsid w:val="1A9A9E69"/>
    <w:multiLevelType w:val="hybridMultilevel"/>
    <w:lvl w:ilvl="0">
      <w:lvlJc w:val="left"/>
      <w:lvlText w:val="2"/>
      <w:numFmt w:val="bullet"/>
      <w:start w:val="1"/>
    </w:lvl>
  </w:abstractNum>
  <w:abstractNum w:abstractNumId="114">
    <w:nsid w:val="475E256A"/>
    <w:multiLevelType w:val="hybridMultilevel"/>
    <w:lvl w:ilvl="0">
      <w:lvlJc w:val="left"/>
      <w:lvlText w:val="1"/>
      <w:numFmt w:val="bullet"/>
      <w:start w:val="1"/>
    </w:lvl>
  </w:abstractNum>
  <w:abstractNum w:abstractNumId="115">
    <w:nsid w:val="368DB37E"/>
    <w:multiLevelType w:val="hybridMultilevel"/>
    <w:lvl w:ilvl="0">
      <w:lvlJc w:val="left"/>
      <w:lvlText w:val="2"/>
      <w:numFmt w:val="bullet"/>
      <w:start w:val="1"/>
    </w:lvl>
  </w:abstractNum>
  <w:abstractNum w:abstractNumId="116">
    <w:nsid w:val="6A3B714C"/>
    <w:multiLevelType w:val="hybridMultilevel"/>
    <w:lvl w:ilvl="0">
      <w:lvlJc w:val="left"/>
      <w:lvlText w:val="3"/>
      <w:numFmt w:val="bullet"/>
      <w:start w:val="1"/>
    </w:lvl>
  </w:abstractNum>
  <w:abstractNum w:abstractNumId="117">
    <w:nsid w:val="327B517E"/>
    <w:multiLevelType w:val="hybridMultilevel"/>
    <w:lvl w:ilvl="0">
      <w:lvlJc w:val="left"/>
      <w:lvlText w:val="2"/>
      <w:numFmt w:val="bullet"/>
      <w:start w:val="1"/>
    </w:lvl>
  </w:abstractNum>
  <w:abstractNum w:abstractNumId="118">
    <w:nsid w:val="1F461B51"/>
    <w:multiLevelType w:val="hybridMultilevel"/>
    <w:lvl w:ilvl="0">
      <w:lvlJc w:val="left"/>
      <w:lvlText w:val="3"/>
      <w:numFmt w:val="bullet"/>
      <w:start w:val="1"/>
    </w:lvl>
  </w:abstractNum>
  <w:abstractNum w:abstractNumId="119">
    <w:nsid w:val="29BACF25"/>
    <w:multiLevelType w:val="hybridMultilevel"/>
    <w:lvl w:ilvl="0">
      <w:lvlJc w:val="left"/>
      <w:lvlText w:val="4"/>
      <w:numFmt w:val="bullet"/>
      <w:start w:val="1"/>
    </w:lvl>
  </w:abstractNum>
  <w:abstractNum w:abstractNumId="120">
    <w:nsid w:val="5D5BABB3"/>
    <w:multiLevelType w:val="hybridMultilevel"/>
    <w:lvl w:ilvl="0">
      <w:lvlJc w:val="left"/>
      <w:lvlText w:val="4"/>
      <w:numFmt w:val="bullet"/>
      <w:start w:val="1"/>
    </w:lvl>
  </w:abstractNum>
  <w:abstractNum w:abstractNumId="121">
    <w:nsid w:val="51BF6B48"/>
    <w:multiLevelType w:val="hybridMultilevel"/>
    <w:lvl w:ilvl="0">
      <w:lvlJc w:val="left"/>
      <w:lvlText w:val="1"/>
      <w:numFmt w:val="bullet"/>
      <w:start w:val="1"/>
    </w:lvl>
    <w:lvl w:ilvl="1">
      <w:lvlJc w:val="left"/>
      <w:lvlText w:val="(%2)"/>
      <w:numFmt w:val="lowerLetter"/>
      <w:start w:val="1"/>
    </w:lvl>
  </w:abstractNum>
  <w:abstractNum w:abstractNumId="122">
    <w:nsid w:val="7E0F6384"/>
    <w:multiLevelType w:val="hybridMultilevel"/>
    <w:lvl w:ilvl="0">
      <w:lvlJc w:val="left"/>
      <w:lvlText w:val="2"/>
      <w:numFmt w:val="bullet"/>
      <w:start w:val="1"/>
    </w:lvl>
  </w:abstractNum>
  <w:abstractNum w:abstractNumId="123">
    <w:nsid w:val="2B4B8B53"/>
    <w:multiLevelType w:val="hybridMultilevel"/>
    <w:lvl w:ilvl="0">
      <w:lvlJc w:val="left"/>
      <w:lvlText w:val="3"/>
      <w:numFmt w:val="bullet"/>
      <w:start w:val="1"/>
    </w:lvl>
  </w:abstractNum>
  <w:abstractNum w:abstractNumId="124">
    <w:nsid w:val="72E3413A"/>
    <w:multiLevelType w:val="hybridMultilevel"/>
    <w:lvl w:ilvl="0">
      <w:lvlJc w:val="left"/>
      <w:lvlText w:val="3"/>
      <w:numFmt w:val="bullet"/>
      <w:start w:val="1"/>
    </w:lvl>
  </w:abstractNum>
  <w:abstractNum w:abstractNumId="125">
    <w:nsid w:val="116AE494"/>
    <w:multiLevelType w:val="hybridMultilevel"/>
    <w:lvl w:ilvl="0">
      <w:lvlJc w:val="left"/>
      <w:lvlText w:val="2"/>
      <w:numFmt w:val="bullet"/>
      <w:start w:val="1"/>
    </w:lvl>
  </w:abstractNum>
  <w:abstractNum w:abstractNumId="126">
    <w:nsid w:val="3494B2FB"/>
    <w:multiLevelType w:val="hybridMultilevel"/>
    <w:lvl w:ilvl="0">
      <w:lvlJc w:val="left"/>
      <w:lvlText w:val="2"/>
      <w:numFmt w:val="bullet"/>
      <w:start w:val="1"/>
    </w:lvl>
  </w:abstractNum>
  <w:abstractNum w:abstractNumId="127">
    <w:nsid w:val="B13A31"/>
    <w:multiLevelType w:val="hybridMultilevel"/>
    <w:lvl w:ilvl="0">
      <w:lvlJc w:val="left"/>
      <w:lvlText w:val="1"/>
      <w:numFmt w:val="bullet"/>
      <w:start w:val="1"/>
    </w:lvl>
  </w:abstractNum>
  <w:abstractNum w:abstractNumId="128">
    <w:nsid w:val="64429599"/>
    <w:multiLevelType w:val="hybridMultilevel"/>
    <w:lvl w:ilvl="0">
      <w:lvlJc w:val="left"/>
      <w:lvlText w:val="2"/>
      <w:numFmt w:val="bullet"/>
      <w:start w:val="1"/>
    </w:lvl>
  </w:abstractNum>
  <w:abstractNum w:abstractNumId="129">
    <w:nsid w:val="631F1690"/>
    <w:multiLevelType w:val="hybridMultilevel"/>
    <w:lvl w:ilvl="0">
      <w:lvlJc w:val="left"/>
      <w:lvlText w:val="3"/>
      <w:numFmt w:val="bullet"/>
      <w:start w:val="1"/>
    </w:lvl>
  </w:abstractNum>
  <w:abstractNum w:abstractNumId="130">
    <w:nsid w:val="25973E32"/>
    <w:multiLevelType w:val="hybridMultilevel"/>
    <w:lvl w:ilvl="0">
      <w:lvlJc w:val="left"/>
      <w:lvlText w:val="2"/>
      <w:numFmt w:val="bullet"/>
      <w:start w:val="1"/>
    </w:lvl>
  </w:abstractNum>
  <w:abstractNum w:abstractNumId="131">
    <w:nsid w:val="EAD6F57"/>
    <w:multiLevelType w:val="hybridMultilevel"/>
    <w:lvl w:ilvl="0">
      <w:lvlJc w:val="left"/>
      <w:lvlText w:val="3"/>
      <w:numFmt w:val="bullet"/>
      <w:start w:val="1"/>
    </w:lvl>
  </w:abstractNum>
  <w:abstractNum w:abstractNumId="132">
    <w:nsid w:val="6EC9D844"/>
    <w:multiLevelType w:val="hybridMultilevel"/>
    <w:lvl w:ilvl="0">
      <w:lvlJc w:val="left"/>
      <w:lvlText w:val="(%1)"/>
      <w:numFmt w:val="decimal"/>
      <w:start w:val="1"/>
    </w:lvl>
  </w:abstractNum>
  <w:abstractNum w:abstractNumId="133">
    <w:nsid w:val="5C49EAEE"/>
    <w:multiLevelType w:val="hybridMultilevel"/>
    <w:lvl w:ilvl="0">
      <w:lvlJc w:val="left"/>
      <w:lvlText w:val="1"/>
      <w:numFmt w:val="bullet"/>
      <w:start w:val="1"/>
    </w:lvl>
  </w:abstractNum>
  <w:abstractNum w:abstractNumId="134">
    <w:nsid w:val="64AF49B"/>
    <w:multiLevelType w:val="hybridMultilevel"/>
    <w:lvl w:ilvl="0">
      <w:lvlJc w:val="left"/>
      <w:lvlText w:val="2"/>
      <w:numFmt w:val="bullet"/>
      <w:start w:val="1"/>
    </w:lvl>
  </w:abstractNum>
  <w:abstractNum w:abstractNumId="135">
    <w:nsid w:val="397C46BC"/>
    <w:multiLevelType w:val="hybridMultilevel"/>
    <w:lvl w:ilvl="0">
      <w:lvlJc w:val="left"/>
      <w:lvlText w:val="3"/>
      <w:numFmt w:val="bullet"/>
      <w:start w:val="1"/>
    </w:lvl>
  </w:abstractNum>
  <w:abstractNum w:abstractNumId="136">
    <w:nsid w:val="7E448DE9"/>
    <w:multiLevelType w:val="hybridMultilevel"/>
    <w:lvl w:ilvl="0">
      <w:lvlJc w:val="left"/>
      <w:lvlText w:val="2"/>
      <w:numFmt w:val="bullet"/>
      <w:start w:val="1"/>
    </w:lvl>
  </w:abstractNum>
  <w:abstractNum w:abstractNumId="137">
    <w:nsid w:val="5A9CC3E5"/>
    <w:multiLevelType w:val="hybridMultilevel"/>
    <w:lvl w:ilvl="0">
      <w:lvlJc w:val="left"/>
      <w:lvlText w:val="3"/>
      <w:numFmt w:val="bullet"/>
      <w:start w:val="1"/>
    </w:lvl>
  </w:abstractNum>
  <w:abstractNum w:abstractNumId="138">
    <w:nsid w:val="1AFE3625"/>
    <w:multiLevelType w:val="hybridMultilevel"/>
    <w:lvl w:ilvl="0">
      <w:lvlJc w:val="left"/>
      <w:lvlText w:val="1"/>
      <w:numFmt w:val="bullet"/>
      <w:start w:val="1"/>
    </w:lvl>
  </w:abstractNum>
  <w:abstractNum w:abstractNumId="139">
    <w:nsid w:val="3CA88ECF"/>
    <w:multiLevelType w:val="hybridMultilevel"/>
    <w:lvl w:ilvl="0">
      <w:lvlJc w:val="left"/>
      <w:lvlText w:val="2"/>
      <w:numFmt w:val="bullet"/>
      <w:start w:val="1"/>
    </w:lvl>
  </w:abstractNum>
  <w:abstractNum w:abstractNumId="140">
    <w:nsid w:val="6EBE4208"/>
    <w:multiLevelType w:val="hybridMultilevel"/>
    <w:lvl w:ilvl="0">
      <w:lvlJc w:val="left"/>
      <w:lvlText w:val="1"/>
      <w:numFmt w:val="bullet"/>
      <w:start w:val="1"/>
    </w:lvl>
    <w:lvl w:ilvl="1">
      <w:lvlJc w:val="left"/>
      <w:lvlText w:val="(%2)"/>
      <w:numFmt w:val="lowerLetter"/>
      <w:start w:val="1"/>
    </w:lvl>
  </w:abstractNum>
  <w:abstractNum w:abstractNumId="141">
    <w:nsid w:val="C058DF5"/>
    <w:multiLevelType w:val="hybridMultilevel"/>
    <w:lvl w:ilvl="0">
      <w:lvlJc w:val="left"/>
      <w:lvlText w:val="(%1)"/>
      <w:numFmt w:val="lowerLetter"/>
      <w:start w:val="1"/>
    </w:lvl>
  </w:abstractNum>
  <w:abstractNum w:abstractNumId="142">
    <w:nsid w:val="CBE5BE9"/>
    <w:multiLevelType w:val="hybridMultilevel"/>
    <w:lvl w:ilvl="0">
      <w:lvlJc w:val="left"/>
      <w:lvlText w:val="2"/>
      <w:numFmt w:val="bullet"/>
      <w:start w:val="1"/>
    </w:lvl>
  </w:abstractNum>
  <w:abstractNum w:abstractNumId="143">
    <w:nsid w:val="3102BBE2"/>
    <w:multiLevelType w:val="hybridMultilevel"/>
    <w:lvl w:ilvl="0">
      <w:lvlJc w:val="left"/>
      <w:lvlText w:val="2"/>
      <w:numFmt w:val="bullet"/>
      <w:start w:val="1"/>
    </w:lvl>
  </w:abstractNum>
  <w:abstractNum w:abstractNumId="144">
    <w:nsid w:val="26A02C5E"/>
    <w:multiLevelType w:val="hybridMultilevel"/>
    <w:lvl w:ilvl="0">
      <w:lvlJc w:val="left"/>
      <w:lvlText w:val="3"/>
      <w:numFmt w:val="bullet"/>
      <w:start w:val="1"/>
    </w:lvl>
  </w:abstractNum>
  <w:abstractNum w:abstractNumId="145">
    <w:nsid w:val="541C8153"/>
    <w:multiLevelType w:val="hybridMultilevel"/>
    <w:lvl w:ilvl="0">
      <w:lvlJc w:val="left"/>
      <w:lvlText w:val="3"/>
      <w:numFmt w:val="bullet"/>
      <w:start w:val="1"/>
    </w:lvl>
  </w:abstractNum>
  <w:abstractNum w:abstractNumId="146">
    <w:nsid w:val="67906F60"/>
    <w:multiLevelType w:val="hybridMultilevel"/>
    <w:lvl w:ilvl="0">
      <w:lvlJc w:val="left"/>
      <w:lvlText w:val="4"/>
      <w:numFmt w:val="bullet"/>
      <w:start w:val="1"/>
    </w:lvl>
  </w:abstractNum>
  <w:abstractNum w:abstractNumId="147">
    <w:nsid w:val="10DB9DAA"/>
    <w:multiLevelType w:val="hybridMultilevel"/>
    <w:lvl w:ilvl="0">
      <w:lvlJc w:val="left"/>
      <w:lvlText w:val="5"/>
      <w:numFmt w:val="bullet"/>
      <w:start w:val="1"/>
    </w:lvl>
  </w:abstractNum>
  <w:abstractNum w:abstractNumId="148">
    <w:nsid w:val="697D2D2"/>
    <w:multiLevelType w:val="hybridMultilevel"/>
    <w:lvl w:ilvl="0">
      <w:lvlJc w:val="left"/>
      <w:lvlText w:val="6"/>
      <w:numFmt w:val="bullet"/>
      <w:start w:val="1"/>
    </w:lvl>
  </w:abstractNum>
  <w:abstractNum w:abstractNumId="149">
    <w:nsid w:val="6D68AB2"/>
    <w:multiLevelType w:val="hybridMultilevel"/>
    <w:lvl w:ilvl="0">
      <w:lvlJc w:val="left"/>
      <w:lvlText w:val="4"/>
      <w:numFmt w:val="bullet"/>
      <w:start w:val="1"/>
    </w:lvl>
  </w:abstractNum>
  <w:abstractNum w:abstractNumId="150">
    <w:nsid w:val="3A966CD0"/>
    <w:multiLevelType w:val="hybridMultilevel"/>
    <w:lvl w:ilvl="0">
      <w:lvlJc w:val="left"/>
      <w:lvlText w:val="5"/>
      <w:numFmt w:val="bullet"/>
      <w:start w:val="1"/>
    </w:lvl>
  </w:abstractNum>
  <w:abstractNum w:abstractNumId="151">
    <w:nsid w:val="63F37E85"/>
    <w:multiLevelType w:val="hybridMultilevel"/>
    <w:lvl w:ilvl="0">
      <w:lvlJc w:val="left"/>
      <w:lvlText w:val="6"/>
      <w:numFmt w:val="bullet"/>
      <w:start w:val="1"/>
    </w:lvl>
  </w:abstractNum>
  <w:abstractNum w:abstractNumId="152">
    <w:nsid w:val="5895F5FA"/>
    <w:multiLevelType w:val="hybridMultilevel"/>
    <w:lvl w:ilvl="0">
      <w:lvlJc w:val="left"/>
      <w:lvlText w:val="1"/>
      <w:numFmt w:val="bullet"/>
      <w:start w:val="1"/>
    </w:lvl>
  </w:abstractNum>
  <w:abstractNum w:abstractNumId="153">
    <w:nsid w:val="38A5D054"/>
    <w:multiLevelType w:val="hybridMultilevel"/>
    <w:lvl w:ilvl="0">
      <w:lvlJc w:val="left"/>
      <w:lvlText w:val="(%1)"/>
      <w:numFmt w:val="lowerRoman"/>
      <w:start w:val="3"/>
    </w:lvl>
  </w:abstractNum>
  <w:abstractNum w:abstractNumId="154">
    <w:nsid w:val="F3F09D8"/>
    <w:multiLevelType w:val="hybridMultilevel"/>
    <w:lvl w:ilvl="0">
      <w:lvlJc w:val="left"/>
      <w:lvlText w:val="2"/>
      <w:numFmt w:val="bullet"/>
      <w:start w:val="1"/>
    </w:lvl>
  </w:abstractNum>
  <w:abstractNum w:abstractNumId="155">
    <w:nsid w:val="4B793735"/>
    <w:multiLevelType w:val="hybridMultilevel"/>
    <w:lvl w:ilvl="0">
      <w:lvlJc w:val="left"/>
      <w:lvlText w:val="3"/>
      <w:numFmt w:val="bullet"/>
      <w:start w:val="1"/>
    </w:lvl>
  </w:abstractNum>
  <w:abstractNum w:abstractNumId="156">
    <w:nsid w:val="4A10B4E8"/>
    <w:multiLevelType w:val="hybridMultilevel"/>
    <w:lvl w:ilvl="0">
      <w:lvlJc w:val="left"/>
      <w:lvlText w:val="4"/>
      <w:numFmt w:val="bullet"/>
      <w:start w:val="1"/>
    </w:lvl>
  </w:abstractNum>
  <w:abstractNum w:abstractNumId="157">
    <w:nsid w:val="43D3BCD4"/>
    <w:multiLevelType w:val="hybridMultilevel"/>
    <w:lvl w:ilvl="0">
      <w:lvlJc w:val="left"/>
      <w:lvlText w:val="2"/>
      <w:numFmt w:val="bullet"/>
      <w:start w:val="1"/>
    </w:lvl>
  </w:abstractNum>
  <w:abstractNum w:abstractNumId="158">
    <w:nsid w:val="4C2A7166"/>
    <w:multiLevelType w:val="hybridMultilevel"/>
    <w:lvl w:ilvl="0">
      <w:lvlJc w:val="left"/>
      <w:lvlText w:val="3"/>
      <w:numFmt w:val="bullet"/>
      <w:start w:val="1"/>
    </w:lvl>
  </w:abstractNum>
  <w:abstractNum w:abstractNumId="159">
    <w:nsid w:val="2E534A82"/>
    <w:multiLevelType w:val="hybridMultilevel"/>
    <w:lvl w:ilvl="0">
      <w:lvlJc w:val="left"/>
      <w:lvlText w:val="4"/>
      <w:numFmt w:val="bullet"/>
      <w:start w:val="1"/>
    </w:lvl>
  </w:abstractNum>
  <w:abstractNum w:abstractNumId="160">
    <w:nsid w:val="26F2D364"/>
    <w:multiLevelType w:val="hybridMultilevel"/>
    <w:lvl w:ilvl="0">
      <w:lvlJc w:val="left"/>
      <w:lvlText w:val="5"/>
      <w:numFmt w:val="bullet"/>
      <w:start w:val="1"/>
    </w:lvl>
  </w:abstractNum>
  <w:abstractNum w:abstractNumId="161">
    <w:nsid w:val="71C1AF98"/>
    <w:multiLevelType w:val="hybridMultilevel"/>
    <w:lvl w:ilvl="0">
      <w:lvlJc w:val="left"/>
      <w:lvlText w:val="6"/>
      <w:numFmt w:val="bullet"/>
      <w:start w:val="1"/>
    </w:lvl>
  </w:abstractNum>
  <w:abstractNum w:abstractNumId="162">
    <w:nsid w:val="3D00B9D9"/>
    <w:multiLevelType w:val="hybridMultilevel"/>
    <w:lvl w:ilvl="0">
      <w:lvlJc w:val="left"/>
      <w:lvlText w:val="7"/>
      <w:numFmt w:val="bullet"/>
      <w:start w:val="1"/>
    </w:lvl>
  </w:abstractNum>
  <w:abstractNum w:abstractNumId="163">
    <w:nsid w:val="15BCABA8"/>
    <w:multiLevelType w:val="hybridMultilevel"/>
    <w:lvl w:ilvl="0">
      <w:lvlJc w:val="left"/>
      <w:lvlText w:val="5"/>
      <w:numFmt w:val="bullet"/>
      <w:start w:val="1"/>
    </w:lvl>
  </w:abstractNum>
  <w:abstractNum w:abstractNumId="164">
    <w:nsid w:val="4E0B9A87"/>
    <w:multiLevelType w:val="hybridMultilevel"/>
    <w:lvl w:ilvl="0">
      <w:lvlJc w:val="left"/>
      <w:lvlText w:val="6"/>
      <w:numFmt w:val="bullet"/>
      <w:start w:val="1"/>
    </w:lvl>
  </w:abstractNum>
  <w:abstractNum w:abstractNumId="165">
    <w:nsid w:val="434BAE75"/>
    <w:multiLevelType w:val="hybridMultilevel"/>
    <w:lvl w:ilvl="0">
      <w:lvlJc w:val="left"/>
      <w:lvlText w:val="7"/>
      <w:numFmt w:val="bullet"/>
      <w:start w:val="1"/>
    </w:lvl>
  </w:abstractNum>
  <w:abstractNum w:abstractNumId="166">
    <w:nsid w:val="4F38F265"/>
    <w:multiLevelType w:val="hybridMultilevel"/>
    <w:lvl w:ilvl="0">
      <w:lvlJc w:val="left"/>
      <w:lvlText w:val="1"/>
      <w:numFmt w:val="bullet"/>
      <w:start w:val="1"/>
    </w:lvl>
  </w:abstractNum>
  <w:abstractNum w:abstractNumId="167">
    <w:nsid w:val="4C502870"/>
    <w:multiLevelType w:val="hybridMultilevel"/>
    <w:lvl w:ilvl="0">
      <w:lvlJc w:val="left"/>
      <w:lvlText w:val="2"/>
      <w:numFmt w:val="bullet"/>
      <w:start w:val="1"/>
    </w:lvl>
  </w:abstractNum>
  <w:abstractNum w:abstractNumId="168">
    <w:nsid w:val="1DE8725A"/>
    <w:multiLevelType w:val="hybridMultilevel"/>
    <w:lvl w:ilvl="0">
      <w:lvlJc w:val="left"/>
      <w:lvlText w:val="2"/>
      <w:numFmt w:val="bullet"/>
      <w:start w:val="1"/>
    </w:lvl>
  </w:abstractNum>
  <w:abstractNum w:abstractNumId="169">
    <w:nsid w:val="6A37288A"/>
    <w:multiLevelType w:val="hybridMultilevel"/>
    <w:lvl w:ilvl="0">
      <w:lvlJc w:val="left"/>
      <w:lvlText w:val="3"/>
      <w:numFmt w:val="bullet"/>
      <w:start w:val="1"/>
    </w:lvl>
  </w:abstractNum>
  <w:abstractNum w:abstractNumId="170">
    <w:nsid w:val="8F8B73F"/>
    <w:multiLevelType w:val="hybridMultilevel"/>
    <w:lvl w:ilvl="0">
      <w:lvlJc w:val="left"/>
      <w:lvlText w:val="4"/>
      <w:numFmt w:val="bullet"/>
      <w:start w:val="1"/>
    </w:lvl>
  </w:abstractNum>
  <w:abstractNum w:abstractNumId="171">
    <w:nsid w:val="CA6B462"/>
    <w:multiLevelType w:val="hybridMultilevel"/>
    <w:lvl w:ilvl="0">
      <w:lvlJc w:val="left"/>
      <w:lvlText w:val="3"/>
      <w:numFmt w:val="bullet"/>
      <w:start w:val="1"/>
    </w:lvl>
  </w:abstractNum>
  <w:abstractNum w:abstractNumId="172">
    <w:nsid w:val="763CB680"/>
    <w:multiLevelType w:val="hybridMultilevel"/>
    <w:lvl w:ilvl="0">
      <w:lvlJc w:val="left"/>
      <w:lvlText w:val="4"/>
      <w:numFmt w:val="bullet"/>
      <w:start w:val="1"/>
    </w:lvl>
  </w:abstractNum>
  <w:abstractNum w:abstractNumId="173">
    <w:nsid w:val="15B71329"/>
    <w:multiLevelType w:val="hybridMultilevel"/>
    <w:lvl w:ilvl="0">
      <w:lvlJc w:val="left"/>
      <w:lvlText w:val="1"/>
      <w:numFmt w:val="bullet"/>
      <w:start w:val="1"/>
    </w:lvl>
  </w:abstractNum>
  <w:abstractNum w:abstractNumId="174">
    <w:nsid w:val="3DA97044"/>
    <w:multiLevelType w:val="hybridMultilevel"/>
    <w:lvl w:ilvl="0">
      <w:lvlJc w:val="left"/>
      <w:lvlText w:val="2"/>
      <w:numFmt w:val="bullet"/>
      <w:start w:val="1"/>
    </w:lvl>
  </w:abstractNum>
  <w:abstractNum w:abstractNumId="175">
    <w:nsid w:val="1CDCE2DE"/>
    <w:multiLevelType w:val="hybridMultilevel"/>
    <w:lvl w:ilvl="0">
      <w:lvlJc w:val="left"/>
      <w:lvlText w:val="3"/>
      <w:numFmt w:val="bullet"/>
      <w:start w:val="1"/>
    </w:lvl>
    <w:lvl w:ilvl="1">
      <w:lvlJc w:val="left"/>
      <w:lvlText w:val="(%2)"/>
      <w:numFmt w:val="lowerLetter"/>
      <w:start w:val="1"/>
    </w:lvl>
  </w:abstractNum>
  <w:abstractNum w:abstractNumId="176">
    <w:nsid w:val="69D3947C"/>
    <w:multiLevelType w:val="hybridMultilevel"/>
    <w:lvl w:ilvl="0">
      <w:lvlJc w:val="left"/>
      <w:lvlText w:val="3"/>
      <w:numFmt w:val="bullet"/>
      <w:start w:val="1"/>
    </w:lvl>
    <w:lvl w:ilvl="1">
      <w:lvlJc w:val="left"/>
      <w:lvlText w:val="(%2)"/>
      <w:numFmt w:val="lowerLetter"/>
      <w:start w:val="1"/>
    </w:lvl>
  </w:abstractNum>
  <w:abstractNum w:abstractNumId="177">
    <w:nsid w:val="2539DFA5"/>
    <w:multiLevelType w:val="hybridMultilevel"/>
    <w:lvl w:ilvl="0">
      <w:lvlJc w:val="left"/>
      <w:lvlText w:val="(%1)"/>
      <w:numFmt w:val="lowerLetter"/>
      <w:start w:val="3"/>
    </w:lvl>
  </w:abstractNum>
  <w:abstractNum w:abstractNumId="178">
    <w:nsid w:val="2DB88089"/>
    <w:multiLevelType w:val="hybridMultilevel"/>
    <w:lvl w:ilvl="0">
      <w:lvlJc w:val="left"/>
      <w:lvlText w:val="4"/>
      <w:numFmt w:val="bullet"/>
      <w:start w:val="1"/>
    </w:lvl>
  </w:abstractNum>
  <w:abstractNum w:abstractNumId="179">
    <w:nsid w:val="706B674E"/>
    <w:multiLevelType w:val="hybridMultilevel"/>
    <w:lvl w:ilvl="0">
      <w:lvlJc w:val="left"/>
      <w:lvlText w:val="(%1)"/>
      <w:numFmt w:val="lowerLetter"/>
      <w:start w:val="3"/>
    </w:lvl>
  </w:abstractNum>
  <w:abstractNum w:abstractNumId="180">
    <w:nsid w:val="2C106A57"/>
    <w:multiLevelType w:val="hybridMultilevel"/>
    <w:lvl w:ilvl="0">
      <w:lvlJc w:val="left"/>
      <w:lvlText w:val="4"/>
      <w:numFmt w:val="bullet"/>
      <w:start w:val="1"/>
    </w:lvl>
  </w:abstractNum>
  <w:abstractNum w:abstractNumId="181">
    <w:nsid w:val="684EED59"/>
    <w:multiLevelType w:val="hybridMultilevel"/>
    <w:lvl w:ilvl="0">
      <w:lvlJc w:val="left"/>
      <w:lvlText w:val="1"/>
      <w:numFmt w:val="bullet"/>
      <w:start w:val="1"/>
    </w:lvl>
  </w:abstractNum>
  <w:abstractNum w:abstractNumId="182">
    <w:nsid w:val="545EE5D3"/>
    <w:multiLevelType w:val="hybridMultilevel"/>
    <w:lvl w:ilvl="0">
      <w:lvlJc w:val="left"/>
      <w:lvlText w:val="2"/>
      <w:numFmt w:val="bullet"/>
      <w:start w:val="1"/>
    </w:lvl>
  </w:abstractNum>
  <w:abstractNum w:abstractNumId="183">
    <w:nsid w:val="4A66051"/>
    <w:multiLevelType w:val="hybridMultilevel"/>
    <w:lvl w:ilvl="0">
      <w:lvlJc w:val="left"/>
      <w:lvlText w:val="1"/>
      <w:numFmt w:val="bullet"/>
      <w:start w:val="1"/>
    </w:lvl>
  </w:abstractNum>
  <w:abstractNum w:abstractNumId="184">
    <w:nsid w:val="20F4BDAD"/>
    <w:multiLevelType w:val="hybridMultilevel"/>
    <w:lvl w:ilvl="0">
      <w:lvlJc w:val="left"/>
      <w:lvlText w:val="2"/>
      <w:numFmt w:val="bullet"/>
      <w:start w:val="1"/>
    </w:lvl>
  </w:abstractNum>
  <w:abstractNum w:abstractNumId="185">
    <w:nsid w:val="639DEFAC"/>
    <w:multiLevelType w:val="hybridMultilevel"/>
    <w:lvl w:ilvl="0">
      <w:lvlJc w:val="left"/>
      <w:lvlText w:val="3"/>
      <w:numFmt w:val="bullet"/>
      <w:start w:val="1"/>
    </w:lvl>
  </w:abstractNum>
  <w:abstractNum w:abstractNumId="186">
    <w:nsid w:val="501F9786"/>
    <w:multiLevelType w:val="hybridMultilevel"/>
    <w:lvl w:ilvl="0">
      <w:lvlJc w:val="left"/>
      <w:lvlText w:val="3"/>
      <w:numFmt w:val="bullet"/>
      <w:start w:val="1"/>
    </w:lvl>
  </w:abstractNum>
  <w:abstractNum w:abstractNumId="187">
    <w:nsid w:val="6B057295"/>
    <w:multiLevelType w:val="hybridMultilevel"/>
    <w:lvl w:ilvl="0">
      <w:lvlJc w:val="left"/>
      <w:lvlText w:val="1"/>
      <w:numFmt w:val="bullet"/>
      <w:start w:val="1"/>
    </w:lvl>
  </w:abstractNum>
  <w:abstractNum w:abstractNumId="188">
    <w:nsid w:val="2771AC80"/>
    <w:multiLevelType w:val="hybridMultilevel"/>
    <w:lvl w:ilvl="0">
      <w:lvlJc w:val="left"/>
      <w:lvlText w:val="2"/>
      <w:numFmt w:val="bullet"/>
      <w:start w:val="1"/>
    </w:lvl>
  </w:abstractNum>
  <w:abstractNum w:abstractNumId="189">
    <w:nsid w:val="1C4A08EC"/>
    <w:multiLevelType w:val="hybridMultilevel"/>
    <w:lvl w:ilvl="0">
      <w:lvlJc w:val="left"/>
      <w:lvlText w:val="3"/>
      <w:numFmt w:val="bullet"/>
      <w:start w:val="1"/>
    </w:lvl>
  </w:abstractNum>
  <w:abstractNum w:abstractNumId="190">
    <w:nsid w:val="1958BD17"/>
    <w:multiLevelType w:val="hybridMultilevel"/>
    <w:lvl w:ilvl="0">
      <w:lvlJc w:val="left"/>
      <w:lvlText w:val="3"/>
      <w:numFmt w:val="bullet"/>
      <w:start w:val="1"/>
    </w:lvl>
  </w:abstractNum>
  <w:abstractNum w:abstractNumId="191">
    <w:nsid w:val="4E647FE4"/>
    <w:multiLevelType w:val="hybridMultilevel"/>
    <w:lvl w:ilvl="0">
      <w:lvlJc w:val="left"/>
      <w:lvlText w:val="4"/>
      <w:numFmt w:val="bullet"/>
      <w:start w:val="1"/>
    </w:lvl>
  </w:abstractNum>
  <w:abstractNum w:abstractNumId="192">
    <w:nsid w:val="E0BB885"/>
    <w:multiLevelType w:val="hybridMultilevel"/>
    <w:lvl w:ilvl="0">
      <w:lvlJc w:val="left"/>
      <w:lvlText w:val="4"/>
      <w:numFmt w:val="bullet"/>
      <w:start w:val="1"/>
    </w:lvl>
  </w:abstractNum>
  <w:abstractNum w:abstractNumId="193">
    <w:nsid w:val="565976F1"/>
    <w:multiLevelType w:val="hybridMultilevel"/>
    <w:lvl w:ilvl="0">
      <w:lvlJc w:val="left"/>
      <w:lvlText w:val="1"/>
      <w:numFmt w:val="bullet"/>
      <w:start w:val="1"/>
    </w:lvl>
  </w:abstractNum>
  <w:abstractNum w:abstractNumId="194">
    <w:nsid w:val="64212B8C"/>
    <w:multiLevelType w:val="hybridMultilevel"/>
    <w:lvl w:ilvl="0">
      <w:lvlJc w:val="left"/>
      <w:lvlText w:val="2"/>
      <w:numFmt w:val="bullet"/>
      <w:start w:val="1"/>
    </w:lvl>
  </w:abstractNum>
  <w:abstractNum w:abstractNumId="195">
    <w:nsid w:val="5C17530C"/>
    <w:multiLevelType w:val="hybridMultilevel"/>
    <w:lvl w:ilvl="0">
      <w:lvlJc w:val="left"/>
      <w:lvlText w:val="2"/>
      <w:numFmt w:val="bullet"/>
      <w:start w:val="1"/>
    </w:lvl>
  </w:abstractNum>
  <w:abstractNum w:abstractNumId="196">
    <w:nsid w:val="19A52566"/>
    <w:multiLevelType w:val="hybridMultilevel"/>
    <w:lvl w:ilvl="0">
      <w:lvlJc w:val="left"/>
      <w:lvlText w:val="(%1)"/>
      <w:numFmt w:val="lowerLetter"/>
      <w:start w:val="3"/>
    </w:lvl>
  </w:abstractNum>
  <w:abstractNum w:abstractNumId="197">
    <w:nsid w:val="335A1DF1"/>
    <w:multiLevelType w:val="hybridMultilevel"/>
    <w:lvl w:ilvl="0">
      <w:lvlJc w:val="left"/>
      <w:lvlText w:val="(%1)"/>
      <w:numFmt w:val="lowerLetter"/>
      <w:start w:val="3"/>
    </w:lvl>
  </w:abstractNum>
  <w:abstractNum w:abstractNumId="198">
    <w:nsid w:val="28677B7C"/>
    <w:multiLevelType w:val="hybridMultilevel"/>
    <w:lvl w:ilvl="0">
      <w:lvlJc w:val="left"/>
      <w:lvlText w:val="3"/>
      <w:numFmt w:val="bullet"/>
      <w:start w:val="1"/>
    </w:lvl>
  </w:abstractNum>
  <w:abstractNum w:abstractNumId="199">
    <w:nsid w:val="378D97C0"/>
    <w:multiLevelType w:val="hybridMultilevel"/>
    <w:lvl w:ilvl="0">
      <w:lvlJc w:val="left"/>
      <w:lvlText w:val="4"/>
      <w:numFmt w:val="bullet"/>
      <w:start w:val="1"/>
    </w:lvl>
  </w:abstractNum>
  <w:abstractNum w:abstractNumId="200">
    <w:nsid w:val="1D91467C"/>
    <w:multiLevelType w:val="hybridMultilevel"/>
    <w:lvl w:ilvl="0">
      <w:lvlJc w:val="left"/>
      <w:lvlText w:val="(%1)"/>
      <w:numFmt w:val="lowerRoman"/>
      <w:start w:val="2"/>
    </w:lvl>
  </w:abstractNum>
  <w:abstractNum w:abstractNumId="201">
    <w:nsid w:val="316032BB"/>
    <w:multiLevelType w:val="hybridMultilevel"/>
    <w:lvl w:ilvl="0">
      <w:lvlJc w:val="left"/>
      <w:lvlText w:val="8"/>
      <w:numFmt w:val="bullet"/>
      <w:start w:val="1"/>
    </w:lvl>
  </w:abstractNum>
  <w:abstractNum w:abstractNumId="202">
    <w:nsid w:val="44344C22"/>
    <w:multiLevelType w:val="hybridMultilevel"/>
    <w:lvl w:ilvl="0">
      <w:lvlJc w:val="left"/>
      <w:lvlText w:val="9"/>
      <w:numFmt w:val="bullet"/>
      <w:start w:val="1"/>
    </w:lvl>
  </w:abstractNum>
  <w:abstractNum w:abstractNumId="203">
    <w:nsid w:val="13CDFCFC"/>
    <w:multiLevelType w:val="hybridMultilevel"/>
    <w:lvl w:ilvl="0">
      <w:lvlJc w:val="left"/>
      <w:lvlText w:val="(%1)"/>
      <w:numFmt w:val="lowerLetter"/>
      <w:start w:val="1"/>
    </w:lvl>
  </w:abstractNum>
  <w:abstractNum w:abstractNumId="204">
    <w:nsid w:val="471745E4"/>
    <w:multiLevelType w:val="hybridMultilevel"/>
    <w:lvl w:ilvl="0">
      <w:lvlJc w:val="left"/>
      <w:lvlText w:val="(%1)"/>
      <w:numFmt w:val="lowerLetter"/>
      <w:start w:val="1"/>
    </w:lvl>
  </w:abstractNum>
  <w:abstractNum w:abstractNumId="205">
    <w:nsid w:val="1DDBC66"/>
    <w:multiLevelType w:val="hybridMultilevel"/>
    <w:lvl w:ilvl="0">
      <w:lvlJc w:val="left"/>
      <w:lvlText w:val="(%1)"/>
      <w:numFmt w:val="lowerLetter"/>
      <w:start w:val="2"/>
    </w:lvl>
  </w:abstractNum>
  <w:abstractNum w:abstractNumId="206">
    <w:nsid w:val="30AADFDA"/>
    <w:multiLevelType w:val="hybridMultilevel"/>
    <w:lvl w:ilvl="0">
      <w:lvlJc w:val="left"/>
      <w:lvlText w:val="(%1)"/>
      <w:numFmt w:val="lowerLetter"/>
      <w:start w:val="2"/>
    </w:lvl>
  </w:abstractNum>
  <w:abstractNum w:abstractNumId="207">
    <w:nsid w:val="30EADA61"/>
    <w:multiLevelType w:val="hybridMultilevel"/>
    <w:lvl w:ilvl="0">
      <w:lvlJc w:val="left"/>
      <w:lvlText w:val="(%1)"/>
      <w:numFmt w:val="lowerLetter"/>
      <w:start w:val="3"/>
    </w:lvl>
  </w:abstractNum>
  <w:abstractNum w:abstractNumId="208">
    <w:nsid w:val="27179C0B"/>
    <w:multiLevelType w:val="hybridMultilevel"/>
    <w:lvl w:ilvl="0">
      <w:lvlJc w:val="left"/>
      <w:lvlText w:val="(%1)"/>
      <w:numFmt w:val="lowerLetter"/>
      <w:start w:val="4"/>
    </w:lvl>
    <w:lvl w:ilvl="1">
      <w:lvlJc w:val="left"/>
      <w:lvlText w:val="(%2)"/>
      <w:numFmt w:val="lowerLetter"/>
      <w:start w:val="5"/>
    </w:lvl>
  </w:abstractNum>
  <w:abstractNum w:abstractNumId="209">
    <w:nsid w:val="5E636063"/>
    <w:multiLevelType w:val="hybridMultilevel"/>
    <w:lvl w:ilvl="0">
      <w:lvlJc w:val="left"/>
      <w:lvlText w:val="(%1)"/>
      <w:numFmt w:val="lowerLetter"/>
      <w:start w:val="4"/>
    </w:lvl>
  </w:abstractNum>
  <w:abstractNum w:abstractNumId="210">
    <w:nsid w:val="215641AF"/>
    <w:multiLevelType w:val="hybridMultilevel"/>
    <w:lvl w:ilvl="0">
      <w:lvlJc w:val="left"/>
      <w:lvlText w:val="%1."/>
      <w:numFmt w:val="decimal"/>
      <w:start w:val="30"/>
    </w:lvl>
  </w:abstractNum>
  <w:abstractNum w:abstractNumId="211">
    <w:nsid w:val="53280662"/>
    <w:multiLevelType w:val="hybridMultilevel"/>
    <w:lvl w:ilvl="0">
      <w:lvlJc w:val="left"/>
      <w:lvlText w:val="(%1)"/>
      <w:numFmt w:val="lowerLetter"/>
      <w:start w:val="61"/>
    </w:lvl>
  </w:abstractNum>
  <w:abstractNum w:abstractNumId="212">
    <w:nsid w:val="46B24DBC"/>
    <w:multiLevelType w:val="hybridMultilevel"/>
    <w:lvl w:ilvl="0">
      <w:lvlJc w:val="left"/>
      <w:lvlText w:val="(%1)"/>
      <w:numFmt w:val="lowerLetter"/>
      <w:start w:val="24"/>
    </w:lvl>
  </w:abstractNum>
  <w:abstractNum w:abstractNumId="213">
    <w:nsid w:val="75B52783"/>
    <w:multiLevelType w:val="hybridMultilevel"/>
    <w:lvl w:ilvl="0">
      <w:lvlJc w:val="left"/>
      <w:lvlText w:val="%1."/>
      <w:numFmt w:val="decimal"/>
      <w:start w:val="27"/>
    </w:lvl>
  </w:abstractNum>
  <w:abstractNum w:abstractNumId="214">
    <w:nsid w:val="57CE66B4"/>
    <w:multiLevelType w:val="hybridMultilevel"/>
    <w:lvl w:ilvl="0">
      <w:lvlJc w:val="left"/>
      <w:lvlText w:val="(%1)"/>
      <w:numFmt w:val="lowerLetter"/>
      <w:start w:val="2"/>
    </w:lvl>
  </w:abstractNum>
  <w:abstractNum w:abstractNumId="215">
    <w:nsid w:val="67A70B69"/>
    <w:multiLevelType w:val="hybridMultilevel"/>
    <w:lvl w:ilvl="0">
      <w:lvlJc w:val="left"/>
      <w:lvlText w:val="(%1)"/>
      <w:numFmt w:val="lowerLetter"/>
      <w:start w:val="61"/>
    </w:lvl>
  </w:abstractNum>
  <w:abstractNum w:abstractNumId="216">
    <w:nsid w:val="5953172F"/>
    <w:multiLevelType w:val="hybridMultilevel"/>
    <w:lvl w:ilvl="0">
      <w:lvlJc w:val="left"/>
      <w:lvlText w:val="1"/>
      <w:numFmt w:val="bullet"/>
      <w:start w:val="1"/>
    </w:lvl>
  </w:abstractNum>
  <w:abstractNum w:abstractNumId="217">
    <w:nsid w:val="27EDFE3A"/>
    <w:multiLevelType w:val="hybridMultilevel"/>
    <w:lvl w:ilvl="0">
      <w:lvlJc w:val="left"/>
      <w:lvlText w:val="1"/>
      <w:numFmt w:val="bullet"/>
      <w:start w:val="1"/>
    </w:lvl>
  </w:abstractNum>
  <w:abstractNum w:abstractNumId="218">
    <w:nsid w:val="52AC7DFF"/>
    <w:multiLevelType w:val="hybridMultilevel"/>
    <w:lvl w:ilvl="0">
      <w:lvlJc w:val="left"/>
      <w:lvlText w:val="%1."/>
      <w:numFmt w:val="decimal"/>
      <w:start w:val="29"/>
    </w:lvl>
  </w:abstractNum>
  <w:abstractNum w:abstractNumId="219">
    <w:nsid w:val="C4C3AF"/>
    <w:multiLevelType w:val="hybridMultilevel"/>
    <w:lvl w:ilvl="0">
      <w:lvlJc w:val="left"/>
      <w:lvlText w:val="2"/>
      <w:numFmt w:val="bullet"/>
      <w:start w:val="1"/>
    </w:lvl>
  </w:abstractNum>
  <w:abstractNum w:abstractNumId="220">
    <w:nsid w:val="44380727"/>
    <w:multiLevelType w:val="hybridMultilevel"/>
    <w:lvl w:ilvl="0">
      <w:lvlJc w:val="left"/>
      <w:lvlText w:val="2"/>
      <w:numFmt w:val="bullet"/>
      <w:start w:val="1"/>
    </w:lvl>
  </w:abstractNum>
  <w:abstractNum w:abstractNumId="221">
    <w:nsid w:val="6C053B16"/>
    <w:multiLevelType w:val="hybridMultilevel"/>
    <w:lvl w:ilvl="0">
      <w:lvlJc w:val="left"/>
      <w:lvlText w:val="1"/>
      <w:numFmt w:val="bullet"/>
      <w:start w:val="1"/>
    </w:lvl>
  </w:abstractNum>
  <w:abstractNum w:abstractNumId="222">
    <w:nsid w:val="4F294393"/>
    <w:multiLevelType w:val="hybridMultilevel"/>
    <w:lvl w:ilvl="0">
      <w:lvlJc w:val="left"/>
      <w:lvlText w:val="2"/>
      <w:numFmt w:val="bullet"/>
      <w:start w:val="1"/>
    </w:lvl>
  </w:abstractNum>
  <w:abstractNum w:abstractNumId="223">
    <w:nsid w:val="5243BFAC"/>
    <w:multiLevelType w:val="hybridMultilevel"/>
    <w:lvl w:ilvl="0">
      <w:lvlJc w:val="left"/>
      <w:lvlText w:val="1"/>
      <w:numFmt w:val="bullet"/>
      <w:start w:val="1"/>
    </w:lvl>
  </w:abstractNum>
  <w:abstractNum w:abstractNumId="224">
    <w:nsid w:val="425EB207"/>
    <w:multiLevelType w:val="hybridMultilevel"/>
    <w:lvl w:ilvl="0">
      <w:lvlJc w:val="left"/>
      <w:lvlText w:val="2"/>
      <w:numFmt w:val="bullet"/>
      <w:start w:val="1"/>
    </w:lvl>
  </w:abstractNum>
  <w:abstractNum w:abstractNumId="225">
    <w:nsid w:val="334A6F1F"/>
    <w:multiLevelType w:val="hybridMultilevel"/>
    <w:lvl w:ilvl="0">
      <w:lvlJc w:val="left"/>
      <w:lvlText w:val="(%1)"/>
      <w:numFmt w:val="lowerLetter"/>
      <w:start w:val="1"/>
    </w:lvl>
  </w:abstractNum>
  <w:abstractNum w:abstractNumId="226">
    <w:nsid w:val="2E5B12B8"/>
    <w:multiLevelType w:val="hybridMultilevel"/>
    <w:lvl w:ilvl="0">
      <w:lvlJc w:val="left"/>
      <w:lvlText w:val="(%1)"/>
      <w:numFmt w:val="lowerLetter"/>
      <w:start w:val="2"/>
    </w:lvl>
  </w:abstractNum>
  <w:abstractNum w:abstractNumId="227">
    <w:nsid w:val="5C03D76D"/>
    <w:multiLevelType w:val="hybridMultilevel"/>
    <w:lvl w:ilvl="0">
      <w:lvlJc w:val="left"/>
      <w:lvlText w:val="(%1)"/>
      <w:numFmt w:val="lowerLetter"/>
      <w:start w:val="1"/>
    </w:lvl>
  </w:abstractNum>
  <w:abstractNum w:abstractNumId="228">
    <w:nsid w:val="66A48D11"/>
    <w:multiLevelType w:val="hybridMultilevel"/>
    <w:lvl w:ilvl="0">
      <w:lvlJc w:val="left"/>
      <w:lvlText w:val="%1"/>
      <w:numFmt w:val="lowerRoman"/>
      <w:start w:val="1"/>
    </w:lvl>
    <w:lvl w:ilvl="1">
      <w:lvlJc w:val="left"/>
      <w:lvlText w:val="(%2)"/>
      <w:numFmt w:val="lowerLetter"/>
      <w:start w:val="1"/>
    </w:lvl>
  </w:abstractNum>
  <w:abstractNum w:abstractNumId="229">
    <w:nsid w:val="56C28E34"/>
    <w:multiLevelType w:val="hybridMultilevel"/>
    <w:lvl w:ilvl="0">
      <w:lvlJc w:val="left"/>
      <w:lvlText w:val="(%1)"/>
      <w:numFmt w:val="lowerRoman"/>
      <w:start w:val="1"/>
    </w:lvl>
    <w:lvl w:ilvl="1">
      <w:lvlJc w:val="left"/>
      <w:lvlText w:val="%2"/>
      <w:numFmt w:val="lowerLetter"/>
      <w:start w:val="1"/>
    </w:lvl>
  </w:abstractNum>
  <w:abstractNum w:abstractNumId="230">
    <w:nsid w:val="13916F2D"/>
    <w:multiLevelType w:val="hybridMultilevel"/>
    <w:lvl w:ilvl="0">
      <w:lvlJc w:val="left"/>
      <w:lvlText w:val="(%1)"/>
      <w:numFmt w:val="lowerRoman"/>
      <w:start w:val="12"/>
    </w:lvl>
  </w:abstractNum>
  <w:abstractNum w:abstractNumId="231">
    <w:nsid w:val="435D38D"/>
    <w:multiLevelType w:val="hybridMultilevel"/>
    <w:lvl w:ilvl="0">
      <w:lvlJc w:val="left"/>
      <w:lvlText w:val="(%1)"/>
      <w:numFmt w:val="lowerLetter"/>
      <w:start w:val="1"/>
    </w:lvl>
  </w:abstractNum>
  <w:abstractNum w:abstractNumId="232">
    <w:nsid w:val="822C0EF"/>
    <w:multiLevelType w:val="hybridMultilevel"/>
    <w:lvl w:ilvl="0">
      <w:lvlJc w:val="left"/>
      <w:lvlText w:val="(%1)"/>
      <w:numFmt w:val="lowerLetter"/>
      <w:start w:val="5"/>
    </w:lvl>
  </w:abstractNum>
  <w:abstractNum w:abstractNumId="233">
    <w:nsid w:val="57C5BB4F"/>
    <w:multiLevelType w:val="hybridMultilevel"/>
    <w:lvl w:ilvl="0">
      <w:lvlJc w:val="left"/>
      <w:lvlText w:val="(%1)"/>
      <w:numFmt w:val="lowerLetter"/>
      <w:start w:val="1"/>
    </w:lvl>
  </w:abstractNum>
  <w:abstractNum w:abstractNumId="234">
    <w:nsid w:val="1803D089"/>
    <w:multiLevelType w:val="hybridMultilevel"/>
    <w:lvl w:ilvl="0">
      <w:lvlJc w:val="left"/>
      <w:lvlText w:val="(%1)"/>
      <w:numFmt w:val="lowerLetter"/>
      <w:start w:val="1"/>
    </w:lvl>
  </w:abstractNum>
  <w:abstractNum w:abstractNumId="235">
    <w:nsid w:val="4F3A06D4"/>
    <w:multiLevelType w:val="hybridMultilevel"/>
    <w:lvl w:ilvl="0">
      <w:lvlJc w:val="left"/>
      <w:lvlText w:val="(%1)"/>
      <w:numFmt w:val="lowerLetter"/>
      <w:start w:val="1"/>
    </w:lvl>
  </w:abstractNum>
  <w:abstractNum w:abstractNumId="236">
    <w:nsid w:val="59A377B6"/>
    <w:multiLevelType w:val="hybridMultilevel"/>
    <w:lvl w:ilvl="0">
      <w:lvlJc w:val="left"/>
      <w:lvlText w:val="(%1)"/>
      <w:numFmt w:val="lowerLetter"/>
      <w:start w:val="1"/>
    </w:lvl>
  </w:abstractNum>
  <w:abstractNum w:abstractNumId="237">
    <w:nsid w:val="48AEB063"/>
    <w:multiLevelType w:val="hybridMultilevel"/>
    <w:lvl w:ilvl="0">
      <w:lvlJc w:val="left"/>
      <w:lvlText w:val="(%1)"/>
      <w:numFmt w:val="lowerLetter"/>
      <w:start w:val="1"/>
    </w:lvl>
  </w:abstractNum>
  <w:abstractNum w:abstractNumId="238">
    <w:nsid w:val="24E135"/>
    <w:multiLevelType w:val="hybridMultilevel"/>
    <w:lvl w:ilvl="0">
      <w:lvlJc w:val="left"/>
      <w:lvlText w:val="%1"/>
      <w:numFmt w:val="lowerLetter"/>
      <w:start w:val="1"/>
    </w:lvl>
    <w:lvl w:ilvl="1">
      <w:lvlJc w:val="left"/>
      <w:lvlText w:val="(%2)"/>
      <w:numFmt w:val="lowerLetter"/>
      <w:start w:val="1"/>
    </w:lvl>
  </w:abstractNum>
  <w:abstractNum w:abstractNumId="239">
    <w:nsid w:val="BB13C1"/>
    <w:multiLevelType w:val="hybridMultilevel"/>
    <w:lvl w:ilvl="0">
      <w:lvlJc w:val="left"/>
      <w:lvlText w:val="(%1)"/>
      <w:numFmt w:val="lowerLetter"/>
      <w:start w:val="35"/>
    </w:lvl>
    <w:lvl w:ilvl="1">
      <w:lvlJc w:val="left"/>
      <w:lvlText w:val="(%2)"/>
      <w:numFmt w:val="lowerLetter"/>
      <w:start w:val="2"/>
    </w:lvl>
  </w:abstractNum>
  <w:abstractNum w:abstractNumId="240">
    <w:nsid w:val="271210C7"/>
    <w:multiLevelType w:val="hybridMultilevel"/>
    <w:lvl w:ilvl="0">
      <w:lvlJc w:val="left"/>
      <w:lvlText w:val="(%1)"/>
      <w:numFmt w:val="lowerLetter"/>
      <w:start w:val="3"/>
    </w:lvl>
  </w:abstractNum>
  <w:abstractNum w:abstractNumId="241">
    <w:nsid w:val="217B22E4"/>
    <w:multiLevelType w:val="hybridMultilevel"/>
    <w:lvl w:ilvl="0">
      <w:lvlJc w:val="left"/>
      <w:lvlText w:val="(%1)"/>
      <w:numFmt w:val="lowerLetter"/>
      <w:start w:val="4"/>
    </w:lvl>
  </w:abstractNum>
  <w:abstractNum w:abstractNumId="242">
    <w:nsid w:val="53E31A24"/>
    <w:multiLevelType w:val="hybridMultilevel"/>
    <w:lvl w:ilvl="0">
      <w:lvlJc w:val="left"/>
      <w:lvlText w:val="(%1)"/>
      <w:numFmt w:val="lowerLetter"/>
      <w:start w:val="5"/>
    </w:lvl>
  </w:abstractNum>
  <w:abstractNum w:abstractNumId="243">
    <w:nsid w:val="6DC45E83"/>
    <w:multiLevelType w:val="hybridMultilevel"/>
    <w:lvl w:ilvl="0">
      <w:lvlJc w:val="left"/>
      <w:lvlText w:val="(%1)"/>
      <w:numFmt w:val="lowerLetter"/>
      <w:start w:val="6"/>
    </w:lvl>
  </w:abstractNum>
  <w:abstractNum w:abstractNumId="244">
    <w:nsid w:val="17304A67"/>
    <w:multiLevelType w:val="hybridMultilevel"/>
    <w:lvl w:ilvl="0">
      <w:lvlJc w:val="left"/>
      <w:lvlText w:val="(%1)"/>
      <w:numFmt w:val="lowerRoman"/>
      <w:start w:val="1"/>
    </w:lvl>
  </w:abstractNum>
  <w:abstractNum w:abstractNumId="245">
    <w:nsid w:val="2BB180D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2026-05-26T16:52:21Z</dcterms:created>
  <dcterms:modified xsi:type="dcterms:W3CDTF">2026-05-26T16:52:21Z</dcterms:modified>
</cp:coreProperties>
</file>